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Clashing Human Rights Priorities - How the United States and Muslim Countries Selectively Use Provisions of International Human Rights Law</w:t>
      </w:r>
    </w:p>
    <w:p w:rsidR="00BA6649" w:rsidRDefault="00BA66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Ann Elizabeth Mayer, Legal Studies and Business Ethics, </w:t>
      </w:r>
      <w:proofErr w:type="gramStart"/>
      <w:r>
        <w:rPr>
          <w:rFonts w:ascii="Arial" w:hAnsi="Arial" w:cs="Arial"/>
          <w:sz w:val="20"/>
          <w:szCs w:val="20"/>
        </w:rPr>
        <w:t>The</w:t>
      </w:r>
      <w:proofErr w:type="gramEnd"/>
      <w:r>
        <w:rPr>
          <w:rFonts w:ascii="Arial" w:hAnsi="Arial" w:cs="Arial"/>
          <w:sz w:val="20"/>
          <w:szCs w:val="20"/>
        </w:rPr>
        <w:t xml:space="preserve"> Wharton School, University of Pennsylvania     -     2005</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the United States and Muslim countries – the latter to differing degrees – resisted bringing their systems into conformity with international human rights law, and both made a habit of emphasizing certain human rights while ignoring others. Both sides acted as though certain international human rights principles could be overridden by  . . .   domestic policies.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Profiting from its superpower status, the United States has been able to press its own human rights priorities and to wield human rights as a tool to advance its foreign policy goals without heed for the critical reactions of others, resulting in widespread doubts about the sincerity of the US commitment to human rights.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particular, the US invasion and occupation of Iraq, which is portrayed by US officialdom as aiming to bring democracy and human rights to the region, is overwhelmingly perceived in Muslim countries as a neo-imperialist venture incompatible with respect for Iraqis' right of self-determination.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olor w:val="FF0000"/>
          <w:sz w:val="24"/>
          <w:szCs w:val="24"/>
        </w:rPr>
        <w:tab/>
      </w:r>
      <w:proofErr w:type="gramStart"/>
      <w:r>
        <w:rPr>
          <w:rFonts w:ascii="Times New Roman" w:hAnsi="Times New Roman"/>
          <w:color w:val="FF0000"/>
          <w:sz w:val="24"/>
          <w:szCs w:val="24"/>
        </w:rPr>
        <w:t>{  Note</w:t>
      </w:r>
      <w:proofErr w:type="gramEnd"/>
      <w:r>
        <w:rPr>
          <w:rFonts w:ascii="Times New Roman" w:hAnsi="Times New Roman"/>
          <w:color w:val="FF0000"/>
          <w:sz w:val="24"/>
          <w:szCs w:val="24"/>
        </w:rPr>
        <w:t xml:space="preserve"> that self-determination is used here, apparently to mean the right of a dictator to rule his country rather than the right of the citizens of a country to choose by voting who shall rule them.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various Muslim countries rank among the states that have treated human rights as if they could be ranked in a hierarchical order, with certain rights being prioritized and others being downgraded as if they were less urgent or could be ignored altogether.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practice of ranking human rights in terms of importance has been deprecated as being at odds with the logic of the UN human rights system   . . .   Moreover, the 1993 Vienna Declaration and </w:t>
      </w:r>
      <w:proofErr w:type="spellStart"/>
      <w:r>
        <w:rPr>
          <w:rFonts w:ascii="Arial" w:hAnsi="Arial" w:cs="Arial"/>
          <w:sz w:val="20"/>
          <w:szCs w:val="20"/>
        </w:rPr>
        <w:t>Programme</w:t>
      </w:r>
      <w:proofErr w:type="spellEnd"/>
      <w:r>
        <w:rPr>
          <w:rFonts w:ascii="Arial" w:hAnsi="Arial" w:cs="Arial"/>
          <w:sz w:val="20"/>
          <w:szCs w:val="20"/>
        </w:rPr>
        <w:t xml:space="preserve"> of Action reaffirmed that in the UN system of human rights all human rights matter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Muslim countries have a shared history of awkward relationships with the UN human rights system.  Among other things, in addition to picking and choosing among human rights – as if many could be discounted, both sides act as if certain fundamental domestic traditions and policies are entitled to override international human rights law.</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Their common practice of treating aspects of their domestic laws as sacrosanct and immutable has stood in the way of their adjusting to the more exigent </w:t>
      </w:r>
      <w:r w:rsidRPr="00C212AF">
        <w:rPr>
          <w:rStyle w:val="FootnoteReference"/>
        </w:rPr>
        <w:footnoteReference w:id="1"/>
      </w:r>
      <w:r>
        <w:rPr>
          <w:rFonts w:ascii="Arial" w:hAnsi="Arial" w:cs="Arial"/>
          <w:sz w:val="20"/>
          <w:szCs w:val="20"/>
        </w:rPr>
        <w:t xml:space="preserve"> and comprehensive standards of international human rights law   . . .   That governments only selectively apply human rights does not necessarily correlate with popular sentiments about what rights matter.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Ideas of the 18th century European Enlightenment influenced the UN formulations of civil and political rights, the so-called negative or first generation rights that place limits on actions of governments. In that era European theorists posited that  . . .  people needed protection from interference with their freedom to exercise choices and that they required guarantees against governmental coercion and arbitrary violence.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A recent study has showed how, in contrast to other centers   . . .   the United States has continued to remain oriented toward 18th century perspectives [Gertrude </w:t>
      </w:r>
      <w:proofErr w:type="spellStart"/>
      <w:r>
        <w:rPr>
          <w:rFonts w:ascii="Arial" w:hAnsi="Arial" w:cs="Arial"/>
          <w:sz w:val="20"/>
          <w:szCs w:val="20"/>
        </w:rPr>
        <w:t>Himmelfarb</w:t>
      </w:r>
      <w:proofErr w:type="spellEnd"/>
      <w:r>
        <w:rPr>
          <w:rFonts w:ascii="Arial" w:hAnsi="Arial" w:cs="Arial"/>
          <w:sz w:val="20"/>
          <w:szCs w:val="20"/>
        </w:rPr>
        <w:t xml:space="preserve"> (2004): The Roads to Modernity. New York: Knopf].  The United States is still disposed to favor the limited spectrum of civil and political rights set forth in the constitutional amendments in its 1791 Bill of Rights.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influential models for the UN statements of economic and social rights, the so-called positive or second generation rights    . . .    require states to provide for people's basic needs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Solidarity rights include the right include the right to self-determination, the right to development, to sovereignty over natural resources, to participate in the common heritage of mankind, to peace, to a healthy and sustainable environment, and to humanitarian disaster relief.     . . .    Third generation rights, highly valued by people in the Muslim world, have found little support in the United States, either from the government or for the population at large.    . . .  Indeed, in part due to US actions that have backed Israel and impeded Palestinians' national liberation struggle, it has become widely viewed as a country </w:t>
      </w:r>
      <w:proofErr w:type="spellStart"/>
      <w:r>
        <w:rPr>
          <w:rFonts w:ascii="Arial" w:hAnsi="Arial" w:cs="Arial"/>
          <w:sz w:val="20"/>
          <w:szCs w:val="20"/>
        </w:rPr>
        <w:t>antipathetical</w:t>
      </w:r>
      <w:proofErr w:type="spellEnd"/>
      <w:r>
        <w:rPr>
          <w:rFonts w:ascii="Arial" w:hAnsi="Arial" w:cs="Arial"/>
          <w:sz w:val="20"/>
          <w:szCs w:val="20"/>
        </w:rPr>
        <w:t xml:space="preserve"> to the right of self-determination   . . .    The United States under the leadership of Woodrow Wilson once acted as the champion of the right of self-determination of peoples.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Bush Administration, effectively dismissing the relevance of its positions on the Israel-Palestine conflict, professes to be carrying out a similarly idealistic mission, one of spreading freedom, via its invasion and occupation of Iraq, which are portrayed by the United States as aiming to bring democracy and human rights to the Middle East. However, this intervention is overwhelmingly perceived in Muslim countries as a neo-imperialist venture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mistaken impression that the United States is a strong backer of international human rights law has been encouraged   . . .   The contrast between US chastisements of other countries for failing to adhere to human rights and the US resistance to incorporating international standards in its domestic system is remarkable. The United States has a long history of resistance to international human rights law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continued to be reluctant to make binding commitments to uphold international human rights law even where mainstream civil and political rights are concerned. It ratifies relatively few human rights conventions, and, when it does ratify, it does so only subject to qualifications that render ratification ineffective.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not adjusted to the expansion of human rights over the last few decades, an expansion that has resulted in many new principles being set forth in a series of UN declarations and treaties. New frontiers have been regularly opened as human rights principles keep expanding.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many factors behind the US failure to keep abreast of international human rights law, but the conviction that the US Constitution – meaning the Constitution as interpreted by the Federal Courts – must be upheld as the definitive statement of rights is one of them.</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when the US Constitutional standards are clearly less protective of human rights than international human rights law is, they are treated as definitive, meaning that the Constitution is conceived of as a ceiling on rights.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may seem odd that a contemporary democracy would treat its constitution in this way, as a barrier to human rights.    . . .   However, when viewed in relation to the constitutional accomplishments of other nations during the last decades of the 20th century, the archaic features of the Constitution spring </w:t>
      </w:r>
      <w:r>
        <w:rPr>
          <w:rFonts w:ascii="Arial" w:hAnsi="Arial" w:cs="Arial"/>
          <w:sz w:val="20"/>
          <w:szCs w:val="20"/>
        </w:rPr>
        <w:lastRenderedPageBreak/>
        <w:t xml:space="preserve">to the fore. For example, it contains references to the slave trade and to the slave populations of the south,  . . .   an admonition to the Federal Government not to confer titles of nobility  . . . , and a prohibition of laws working “corruption of the blood”   .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did not originally provide protections for any rights; only after clamor for including rights provisions ensued did the short list of rights adumbrated in the 1791 Bill of Rights become added to the 1791 original text. (Of course, various other amendments protective of rights like the important Fourteenth Amendment were added later.)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deficiencies of the Constitution in the domain of human rights have troubled US progressives. Scholarly specialists in international law, who are exposed to modern rights concepts, are more likely than other Americans to notice the gap that has opened up between US Constitutional interpretations and US domestic law on one side and contemporary international human rights law on the other.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late international law expert Richard B. </w:t>
      </w:r>
      <w:proofErr w:type="spellStart"/>
      <w:r>
        <w:rPr>
          <w:rFonts w:ascii="Arial" w:hAnsi="Arial" w:cs="Arial"/>
          <w:sz w:val="20"/>
          <w:szCs w:val="20"/>
        </w:rPr>
        <w:t>Lillich</w:t>
      </w:r>
      <w:proofErr w:type="spellEnd"/>
      <w:r>
        <w:rPr>
          <w:rFonts w:ascii="Arial" w:hAnsi="Arial" w:cs="Arial"/>
          <w:sz w:val="20"/>
          <w:szCs w:val="20"/>
        </w:rPr>
        <w:t xml:space="preserve"> observed that, to the extent that the Constitution embraced slavery and countenanced the denial of women's rights, it actually was anti-human rights in content. [Richard B. </w:t>
      </w:r>
      <w:proofErr w:type="spellStart"/>
      <w:r>
        <w:rPr>
          <w:rFonts w:ascii="Arial" w:hAnsi="Arial" w:cs="Arial"/>
          <w:sz w:val="20"/>
          <w:szCs w:val="20"/>
        </w:rPr>
        <w:t>Lillich</w:t>
      </w:r>
      <w:proofErr w:type="spellEnd"/>
      <w:r>
        <w:rPr>
          <w:rFonts w:ascii="Arial" w:hAnsi="Arial" w:cs="Arial"/>
          <w:sz w:val="20"/>
          <w:szCs w:val="20"/>
        </w:rPr>
        <w:t xml:space="preserve"> (1990): The United States Constitution and International Human Rights Law. In: Harvard Human Rights Journal 3, 53-81]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Franklin Roosevelt, perceiving the deficiencies of the Bill of Rights, called for updating and expanding the original text to provide for social and economic rights (90-I Cong. Rec. 55, 57, 1944). With his untimely death, prospects for undertaking a reform of this historic magnitude dwindled.   . . .   It will not be easy to persuade people that the US Bill of Rights must be amended, as the 1982 defeat of the proposed Equal Rights Amendment to the Constitution showed, a defeat that left the Constitution bereft of any guarantee of equality in rights.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understand why US attitudes are so conservative, one needs to bear in mind that the US Constitution possesses a different status from that of other constitutions. The legal scholar Thomas Grey has observed that the US Constitution is not simply a “hierarchically superior statute”  . . .   but “a sacred symbol, the most potent emblem (along with the flag) of the nation itself”     . . .    An original version on sheets of parchment is carefully preserved and impressively displayed in the temple-like National Archives building in Washington. As if on religious pilgrimages, Americans from around the country come to gaze at the Constitution, the Bill of Rights, and the Declaration of Independence. They enter the archives via huge doors in the columned south façade to encounter a high-ceilinged, dimly-lit display chamber reminiscent of the interior of a Greek temple, where one might expect to encounter a statue of the goddess Artemis.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they stand silently in line, awaiting their opportunity to gaze at faded script. The fact that at night the display cases sink down underground into reinforced vaults – so that the documents can survive even if the surrounding capital city of Washington is obliterated by a nuclear attack – indicates how the documents are treasured. Given the attention that is paid to preserving the documents, one could argue that the Constitution is treated more like a holy relic, such as the Shroud of Turin, than like a secular document laying out a scheme of government.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Americans deem this normal.  . . .  Citizens of other countries do not make pilgrimages to venerate their constitutions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Daniel </w:t>
      </w:r>
      <w:proofErr w:type="spellStart"/>
      <w:r>
        <w:rPr>
          <w:rFonts w:ascii="Arial" w:hAnsi="Arial" w:cs="Arial"/>
          <w:sz w:val="20"/>
          <w:szCs w:val="20"/>
        </w:rPr>
        <w:t>Lazare</w:t>
      </w:r>
      <w:proofErr w:type="spellEnd"/>
      <w:r>
        <w:rPr>
          <w:rFonts w:ascii="Arial" w:hAnsi="Arial" w:cs="Arial"/>
          <w:sz w:val="20"/>
          <w:szCs w:val="20"/>
        </w:rPr>
        <w:t xml:space="preserve"> has been one of the rare writers who regularly and vigorously </w:t>
      </w:r>
      <w:proofErr w:type="gramStart"/>
      <w:r>
        <w:rPr>
          <w:rFonts w:ascii="Arial" w:hAnsi="Arial" w:cs="Arial"/>
          <w:sz w:val="20"/>
          <w:szCs w:val="20"/>
        </w:rPr>
        <w:t>attacks</w:t>
      </w:r>
      <w:proofErr w:type="gramEnd"/>
      <w:r>
        <w:rPr>
          <w:rFonts w:ascii="Arial" w:hAnsi="Arial" w:cs="Arial"/>
          <w:sz w:val="20"/>
          <w:szCs w:val="20"/>
        </w:rPr>
        <w:t xml:space="preserve"> the stultifying impact that clinging to an 18th century constitution has had. He has emphasized how peculiar it is to treat the basic law of a country as if it were a magical object or a product of divine revelation. Its having the character of a sacred object could go some way toward explaining why the US Constitution has survived so long with its archaic features intact. After all, it is in the nature of a sacred law to be difficult to change, because change is not easily reconciled with sacred status.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prospect that the US Supreme Court in interpreting Constitutional rights provisions might in future be guided by jurisprudence from other countries and/or by international human rights standards has provoked hostile reactions in Congress. This led to efforts in November 2003 to discourage the Supreme Court from referring to the jurisprudence of other countries or to international law via the introduction of the so-called “Constitutional Preservation Resolution,” which aims to reinforce US isolation and keep external human rights developments from infiltrating the US legal system. The name of this resolution is significant in that it embodies the common US perspective that “foreign” or “international” rights principles must be treated like dangerous viruses from which the Constitution should be shielded.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text reads as follows</w:t>
      </w:r>
      <w:proofErr w:type="gramStart"/>
      <w:r>
        <w:rPr>
          <w:rFonts w:ascii="Arial" w:hAnsi="Arial" w:cs="Arial"/>
          <w:sz w:val="20"/>
          <w:szCs w:val="20"/>
        </w:rPr>
        <w:t>:     . . .</w:t>
      </w:r>
      <w:proofErr w:type="gramEnd"/>
      <w:r>
        <w:rPr>
          <w:rFonts w:ascii="Arial" w:hAnsi="Arial" w:cs="Arial"/>
          <w:sz w:val="20"/>
          <w:szCs w:val="20"/>
        </w:rPr>
        <w:t xml:space="preserve">    “. . .  Whereas the role of the Supreme Court is to interpret laws based on the Constitution; Whereas the Supreme Court has cited world opinions and laws in two recently decided cases, Atkins v. Virginia and Lawrence v. Texas; and   . . .   Whereas the laws of foreign countries, and international laws and agreements not made under the authority of the United States, have no legal standing under the United States legal system: Now, therefore, be it Resolved:  . . .   It is the sense of the House of Representatives that, pursuant to article VI of the Constitution, the Supreme Court should base its decisions on the Constitution and the Laws of the United States, and not on the law of any foreign country or any international law or agreement not made under the authority of the United States.   . . .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Thus, one sees that the United States has a deeply </w:t>
      </w:r>
      <w:proofErr w:type="spellStart"/>
      <w:r>
        <w:rPr>
          <w:rFonts w:ascii="Arial" w:hAnsi="Arial" w:cs="Arial"/>
          <w:sz w:val="20"/>
          <w:szCs w:val="20"/>
        </w:rPr>
        <w:t>conflictual</w:t>
      </w:r>
      <w:proofErr w:type="spellEnd"/>
      <w:r>
        <w:rPr>
          <w:rFonts w:ascii="Arial" w:hAnsi="Arial" w:cs="Arial"/>
          <w:sz w:val="20"/>
          <w:szCs w:val="20"/>
        </w:rPr>
        <w:t xml:space="preserve"> relationship with the international human rights system. One the one hand, it wields human rights as a tool of its foreign policy and preaches the universality of human rights, and on the other, it refuses to incorporate international human rights law in its own domestic system, preferring to stand by its constitutional standards, which retain 18th century characteristics. It is a sign of the insularity and parochialism that typically shape Americans' vision of rights issues that only a minority seems to be either interested in or perturbed by the relative weakness of the rights provisions in the US Constitution vis-à-vis those set forth in the laws of other Western democracies and international human rights law.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level of popular anger over the US invasion and occupation of Iraq has been a factor in Arab governments' resistance to Western calls for international intervention to deal with the massive humanitarian crisis in Darfur. Despite widespread expressions of concern for the victims of the Darfur atrocities, the United States is unable to muster a coalition to intervene. Perhaps one million people will be exposed to starvation and death as a result. By repeatedly raising the profile of human rights issues while at the same time following policies that are perceived as inimical to the rights and interests of people in Muslim countries, the United States has become so mistrusted that leaders of Muslim countries are reluctant to cooperate with it, even where abstaining from intervention risks occasioning a massive loss of life on the part of innocent Muslim civilians.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in its invasion and occupation of Iraq has shown insensitivity to the reality that its intervention reminds Muslims of former European imperialist predations. With striking obliviousness to how hollow its claims to be committed to advancing human rights and freedoms will sound to Muslim ears, the United States has continued to portray its intervention as necessary to carry out a human rights mission.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the United States are currently deprived of many of the protections afforded under international human rights law due to the US insistence on upholding traditions that impede adjustments to that law.</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date the US failure to embrace the idea that all human rights matter has primarily had harmful effects in the domestic sphere.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However, it seems that now that it has embarked on an ambitious project to remake the Middle East according to its own vision, the United States may be exacerbating tensions in an already volatile region by pressing its distinctive and limited human rights priorities in Muslim societies where human rights priorities are assessed very differently and where resentments of US double standards on human rights issues have been magnified by recent events.</w:t>
      </w:r>
    </w:p>
    <w:p w:rsidR="00BA6649" w:rsidRDefault="00BA6649">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  </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http://them.polylog.org/6/ama-en.htm</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Times New Roman" w:hAnsi="Times New Roman"/>
          <w:sz w:val="24"/>
          <w:szCs w:val="24"/>
        </w:rPr>
      </w:pPr>
    </w:p>
    <w:p w:rsidR="00BA6649" w:rsidRDefault="00BA6649">
      <w:pPr>
        <w:widowControl w:val="0"/>
        <w:autoSpaceDE w:val="0"/>
        <w:autoSpaceDN w:val="0"/>
        <w:adjustRightInd w:val="0"/>
        <w:spacing w:after="0" w:line="240" w:lineRule="auto"/>
        <w:rPr>
          <w:rFonts w:ascii="Times New Roman" w:hAnsi="Times New Roman"/>
          <w:sz w:val="16"/>
          <w:szCs w:val="16"/>
        </w:rPr>
      </w:pPr>
    </w:p>
    <w:p w:rsidR="00BA6649" w:rsidRDefault="00BA664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What is North Korea saying?</w:t>
      </w:r>
    </w:p>
    <w:p w:rsidR="00BA6649" w:rsidRDefault="00BA66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Richard M. Harley, Staff writer    -   The Christian Science Monitor    -   Nov. 28, 2008</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does it mean   . . .   when the son of one of the world's most doctrinaire Communist leaders produces a popular new film</w:t>
      </w:r>
      <w:proofErr w:type="gramStart"/>
      <w:r>
        <w:rPr>
          <w:rFonts w:ascii="Arial" w:hAnsi="Arial" w:cs="Arial"/>
          <w:sz w:val="20"/>
          <w:szCs w:val="20"/>
        </w:rPr>
        <w:t>:   . . .</w:t>
      </w:r>
      <w:proofErr w:type="gramEnd"/>
      <w:r>
        <w:rPr>
          <w:rFonts w:ascii="Arial" w:hAnsi="Arial" w:cs="Arial"/>
          <w:sz w:val="20"/>
          <w:szCs w:val="20"/>
        </w:rPr>
        <w:t xml:space="preserve">   a folk parable, the story of Chun </w:t>
      </w:r>
      <w:proofErr w:type="spellStart"/>
      <w:r>
        <w:rPr>
          <w:rFonts w:ascii="Arial" w:hAnsi="Arial" w:cs="Arial"/>
          <w:sz w:val="20"/>
          <w:szCs w:val="20"/>
        </w:rPr>
        <w:t>Hyang</w:t>
      </w:r>
      <w:proofErr w:type="spellEnd"/>
      <w:r>
        <w:rPr>
          <w:rFonts w:ascii="Arial" w:hAnsi="Arial" w:cs="Arial"/>
          <w:sz w:val="20"/>
          <w:szCs w:val="20"/>
        </w:rPr>
        <w:t>?</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Everyone in Korea -- North and South -- knows the old tale. While her </w:t>
      </w:r>
      <w:proofErr w:type="spellStart"/>
      <w:proofErr w:type="gramStart"/>
      <w:r>
        <w:rPr>
          <w:rFonts w:ascii="Arial" w:hAnsi="Arial" w:cs="Arial"/>
          <w:sz w:val="20"/>
          <w:szCs w:val="20"/>
        </w:rPr>
        <w:t>fiance</w:t>
      </w:r>
      <w:proofErr w:type="spellEnd"/>
      <w:proofErr w:type="gramEnd"/>
      <w:r>
        <w:rPr>
          <w:rFonts w:ascii="Arial" w:hAnsi="Arial" w:cs="Arial"/>
          <w:sz w:val="20"/>
          <w:szCs w:val="20"/>
        </w:rPr>
        <w:t xml:space="preserve"> is away on the king's business, the beautiful young country woman Chun </w:t>
      </w:r>
      <w:proofErr w:type="spellStart"/>
      <w:r>
        <w:rPr>
          <w:rFonts w:ascii="Arial" w:hAnsi="Arial" w:cs="Arial"/>
          <w:sz w:val="20"/>
          <w:szCs w:val="20"/>
        </w:rPr>
        <w:t>Hyang</w:t>
      </w:r>
      <w:proofErr w:type="spellEnd"/>
      <w:r>
        <w:rPr>
          <w:rFonts w:ascii="Arial" w:hAnsi="Arial" w:cs="Arial"/>
          <w:sz w:val="20"/>
          <w:szCs w:val="20"/>
        </w:rPr>
        <w:t xml:space="preserve"> (Fragrance of Spring) rejects the propositioning of a corrupt official and is thrown in jail. Her </w:t>
      </w:r>
      <w:proofErr w:type="spellStart"/>
      <w:r>
        <w:rPr>
          <w:rFonts w:ascii="Arial" w:hAnsi="Arial" w:cs="Arial"/>
          <w:sz w:val="20"/>
          <w:szCs w:val="20"/>
        </w:rPr>
        <w:t>fiance</w:t>
      </w:r>
      <w:proofErr w:type="spellEnd"/>
      <w:r>
        <w:rPr>
          <w:rFonts w:ascii="Arial" w:hAnsi="Arial" w:cs="Arial"/>
          <w:sz w:val="20"/>
          <w:szCs w:val="20"/>
        </w:rPr>
        <w:t xml:space="preserve"> returns disguised as a beggar, throws off his disguise, and reveals the king's seal. The corrupt officials fall to their knees and Chun </w:t>
      </w:r>
      <w:proofErr w:type="spellStart"/>
      <w:r>
        <w:rPr>
          <w:rFonts w:ascii="Arial" w:hAnsi="Arial" w:cs="Arial"/>
          <w:sz w:val="20"/>
          <w:szCs w:val="20"/>
        </w:rPr>
        <w:t>Hyang</w:t>
      </w:r>
      <w:proofErr w:type="spellEnd"/>
      <w:r>
        <w:rPr>
          <w:rFonts w:ascii="Arial" w:hAnsi="Arial" w:cs="Arial"/>
          <w:sz w:val="20"/>
          <w:szCs w:val="20"/>
        </w:rPr>
        <w:t xml:space="preserve"> is freed.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The film of Chun </w:t>
      </w:r>
      <w:proofErr w:type="spellStart"/>
      <w:r>
        <w:rPr>
          <w:rFonts w:ascii="Arial" w:hAnsi="Arial" w:cs="Arial"/>
          <w:sz w:val="20"/>
          <w:szCs w:val="20"/>
        </w:rPr>
        <w:t>Hyang</w:t>
      </w:r>
      <w:proofErr w:type="spellEnd"/>
      <w:r>
        <w:rPr>
          <w:rFonts w:ascii="Arial" w:hAnsi="Arial" w:cs="Arial"/>
          <w:sz w:val="20"/>
          <w:szCs w:val="20"/>
        </w:rPr>
        <w:t xml:space="preserve"> could be a political design to reinforce the personality cult surrounding the North's President Kim II Sung," William Shaw, a Korea specialist at Harvard University, argues. "It props up the whole idea that the way to deal with problems is for a benevolent paternalistic ruler to come in and right all the people's wrongs."   . . .    "Reducing tension on the Korean Peninsula has long been the goal of North Korea, South Korea, and the US alike," Mr. Shaw adds.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Pyongyang</w:t>
      </w:r>
      <w:proofErr w:type="gramStart"/>
      <w:r>
        <w:rPr>
          <w:rFonts w:ascii="Arial" w:hAnsi="Arial" w:cs="Arial"/>
          <w:sz w:val="20"/>
          <w:szCs w:val="20"/>
        </w:rPr>
        <w:t>:   . . .</w:t>
      </w:r>
      <w:proofErr w:type="gramEnd"/>
      <w:r>
        <w:rPr>
          <w:rFonts w:ascii="Arial" w:hAnsi="Arial" w:cs="Arial"/>
          <w:sz w:val="20"/>
          <w:szCs w:val="20"/>
        </w:rPr>
        <w:t xml:space="preserve">    A modern city with many colorful, well-managed parks and high-rise apartment and office buildings in modern architectural </w:t>
      </w:r>
      <w:proofErr w:type="gramStart"/>
      <w:r>
        <w:rPr>
          <w:rFonts w:ascii="Arial" w:hAnsi="Arial" w:cs="Arial"/>
          <w:sz w:val="20"/>
          <w:szCs w:val="20"/>
        </w:rPr>
        <w:t>style,</w:t>
      </w:r>
      <w:proofErr w:type="gramEnd"/>
      <w:r>
        <w:rPr>
          <w:rFonts w:ascii="Arial" w:hAnsi="Arial" w:cs="Arial"/>
          <w:sz w:val="20"/>
          <w:szCs w:val="20"/>
        </w:rPr>
        <w:t xml:space="preserve"> intermingled with traditionally styled public buildings whose long roofs slope downward then curve up at the ends.    . . .    Visitors are greeted by the city's huge, gold-colored statue of President Kim Il Sung in a "modified Mao" suit waving his hand high in the air -- one of thousands of images of the leader that adorn buildings throughout the country.</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Pyongyang is percolating with ambitious new building projects, including a giant national library complex that combines modern and traditional architecture, and a huge tepee-shaped indoor skating rink. Although cars are scarce, the electric, red-striped trolley buses are a frequent sight.    . . .</w:t>
      </w:r>
    </w:p>
    <w:p w:rsidR="00BA6649" w:rsidRDefault="00BA6649">
      <w:pPr>
        <w:widowControl w:val="0"/>
        <w:autoSpaceDE w:val="0"/>
        <w:autoSpaceDN w:val="0"/>
        <w:adjustRightInd w:val="0"/>
        <w:spacing w:after="0" w:line="240" w:lineRule="auto"/>
        <w:rPr>
          <w:rFonts w:ascii="Arial" w:hAnsi="Arial" w:cs="Arial"/>
          <w:sz w:val="10"/>
          <w:szCs w:val="1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http://www.csmonitor.com/1980/1128/112852.html</w:t>
      </w:r>
    </w:p>
    <w:p w:rsidR="00BA6649" w:rsidRDefault="00BA6649">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lastRenderedPageBreak/>
        <w:tab/>
        <w:t xml:space="preserve">Plato believed that art should be subservient to morality; art that could not be used to inculcate moral principles should be banned. In the ideal state outlined in </w:t>
      </w:r>
      <w:r>
        <w:rPr>
          <w:rFonts w:ascii="Arial" w:hAnsi="Arial" w:cs="Arial"/>
          <w:i/>
          <w:iCs/>
          <w:sz w:val="20"/>
          <w:szCs w:val="20"/>
        </w:rPr>
        <w:t>The Republic,</w:t>
      </w:r>
      <w:r>
        <w:rPr>
          <w:rFonts w:ascii="Arial" w:hAnsi="Arial" w:cs="Arial"/>
          <w:sz w:val="20"/>
          <w:szCs w:val="20"/>
        </w:rPr>
        <w:t xml:space="preserve"> censors would prohibit mothers and nurses from relating tales considered bad or evil; and in his </w:t>
      </w:r>
      <w:r>
        <w:rPr>
          <w:rFonts w:ascii="Arial" w:hAnsi="Arial" w:cs="Arial"/>
          <w:i/>
          <w:iCs/>
          <w:sz w:val="20"/>
          <w:szCs w:val="20"/>
        </w:rPr>
        <w:t>Laws</w:t>
      </w:r>
      <w:r>
        <w:rPr>
          <w:rFonts w:ascii="Arial" w:hAnsi="Arial" w:cs="Arial"/>
          <w:sz w:val="20"/>
          <w:szCs w:val="20"/>
        </w:rPr>
        <w:t xml:space="preserve"> Plato proposed that wrong beliefs about God or the hereafter be treated as crimes and that formal machinery be set up to suppress heresy.</w:t>
      </w:r>
    </w:p>
    <w:p w:rsidR="00BA6649" w:rsidRDefault="00BA6649">
      <w:pPr>
        <w:widowControl w:val="0"/>
        <w:autoSpaceDE w:val="0"/>
        <w:autoSpaceDN w:val="0"/>
        <w:adjustRightInd w:val="0"/>
        <w:spacing w:after="0" w:line="240" w:lineRule="auto"/>
        <w:rPr>
          <w:rFonts w:ascii="Arial" w:hAnsi="Arial" w:cs="Arial"/>
          <w:sz w:val="28"/>
          <w:szCs w:val="28"/>
        </w:rPr>
      </w:pPr>
    </w:p>
    <w:p w:rsidR="00BA6649" w:rsidRDefault="00BA6649">
      <w:pPr>
        <w:widowControl w:val="0"/>
        <w:autoSpaceDE w:val="0"/>
        <w:autoSpaceDN w:val="0"/>
        <w:adjustRightInd w:val="0"/>
        <w:spacing w:after="0" w:line="240" w:lineRule="auto"/>
        <w:rPr>
          <w:rFonts w:ascii="Arial" w:hAnsi="Arial" w:cs="Arial"/>
          <w:sz w:val="28"/>
          <w:szCs w:val="28"/>
        </w:rPr>
      </w:pPr>
    </w:p>
    <w:p w:rsidR="00BA6649" w:rsidRDefault="00BA6649">
      <w:pPr>
        <w:widowControl w:val="0"/>
        <w:autoSpaceDE w:val="0"/>
        <w:autoSpaceDN w:val="0"/>
        <w:adjustRightInd w:val="0"/>
        <w:spacing w:after="0" w:line="240" w:lineRule="auto"/>
        <w:rPr>
          <w:rFonts w:ascii="Arial" w:hAnsi="Arial" w:cs="Arial"/>
          <w:sz w:val="28"/>
          <w:szCs w:val="28"/>
        </w:rPr>
      </w:pPr>
    </w:p>
    <w:p w:rsidR="00BA6649" w:rsidRDefault="00BA6649">
      <w:pPr>
        <w:widowControl w:val="0"/>
        <w:autoSpaceDE w:val="0"/>
        <w:autoSpaceDN w:val="0"/>
        <w:adjustRightInd w:val="0"/>
        <w:spacing w:before="100" w:after="100" w:line="240" w:lineRule="auto"/>
        <w:rPr>
          <w:rFonts w:ascii="Arial" w:hAnsi="Arial" w:cs="Arial"/>
          <w:sz w:val="20"/>
          <w:szCs w:val="20"/>
        </w:rPr>
      </w:pPr>
      <w:r>
        <w:rPr>
          <w:rFonts w:ascii="Arial" w:hAnsi="Arial" w:cs="Arial"/>
          <w:b/>
          <w:bCs/>
          <w:color w:val="000000"/>
          <w:sz w:val="20"/>
          <w:szCs w:val="20"/>
        </w:rPr>
        <w:tab/>
      </w:r>
      <w:proofErr w:type="gramStart"/>
      <w:r>
        <w:rPr>
          <w:rFonts w:ascii="Arial" w:hAnsi="Arial" w:cs="Arial"/>
          <w:b/>
          <w:bCs/>
          <w:color w:val="000000"/>
          <w:sz w:val="20"/>
          <w:szCs w:val="20"/>
        </w:rPr>
        <w:t>Academic Freedom</w:t>
      </w:r>
      <w:r>
        <w:rPr>
          <w:rFonts w:ascii="Arial" w:hAnsi="Arial" w:cs="Arial"/>
          <w:sz w:val="20"/>
          <w:szCs w:val="20"/>
        </w:rPr>
        <w:t>, right of teachers and research workers, particularly in colleges and universities, to investigate their respective fields of knowledge and express their views without fear of restraint or dismissal from office.</w:t>
      </w:r>
      <w:proofErr w:type="gramEnd"/>
      <w:r>
        <w:rPr>
          <w:rFonts w:ascii="Arial" w:hAnsi="Arial" w:cs="Arial"/>
          <w:sz w:val="20"/>
          <w:szCs w:val="20"/>
        </w:rPr>
        <w:t xml:space="preserve"> The right rests on the assumption that open and free inquiry within a teacher's or researcher's field of study is essential to the pursuit of knowledge and to the performance of his or her proper educational function. At present this right is observed generally in countries in which education is regarded as a means not only of inculcating established views but also of enlarging the existing body of knowledge.</w:t>
      </w:r>
    </w:p>
    <w:p w:rsidR="00BA6649" w:rsidRDefault="00BA6649">
      <w:pPr>
        <w:widowControl w:val="0"/>
        <w:autoSpaceDE w:val="0"/>
        <w:autoSpaceDN w:val="0"/>
        <w:adjustRightInd w:val="0"/>
        <w:spacing w:before="100" w:after="100" w:line="240" w:lineRule="auto"/>
        <w:rPr>
          <w:rFonts w:ascii="Arial" w:hAnsi="Arial" w:cs="Arial"/>
          <w:sz w:val="12"/>
          <w:szCs w:val="12"/>
        </w:rPr>
      </w:pPr>
      <w:r>
        <w:rPr>
          <w:rFonts w:ascii="Arial" w:hAnsi="Arial" w:cs="Arial"/>
          <w:sz w:val="20"/>
          <w:szCs w:val="20"/>
        </w:rPr>
        <w:tab/>
        <w:t>The concept of academic freedom implies also that tenure of office depends primarily on the competence of teachers in their fields and on their acceptance of certain standards of professional integrity rather than on extraneous considerations such as political or religious beliefs or affiliations.</w:t>
      </w:r>
    </w:p>
    <w:p w:rsidR="00BA6649" w:rsidRDefault="00BA6649">
      <w:pPr>
        <w:widowControl w:val="0"/>
        <w:autoSpaceDE w:val="0"/>
        <w:autoSpaceDN w:val="0"/>
        <w:adjustRightInd w:val="0"/>
        <w:spacing w:before="100" w:after="100" w:line="240" w:lineRule="auto"/>
        <w:rPr>
          <w:rFonts w:ascii="Arial" w:hAnsi="Arial" w:cs="Arial"/>
          <w:sz w:val="20"/>
          <w:szCs w:val="20"/>
        </w:rPr>
      </w:pPr>
      <w:r>
        <w:rPr>
          <w:rFonts w:ascii="Arial" w:hAnsi="Arial" w:cs="Arial"/>
          <w:sz w:val="12"/>
          <w:szCs w:val="12"/>
        </w:rPr>
        <w:tab/>
      </w:r>
      <w:r>
        <w:rPr>
          <w:rFonts w:ascii="Arial" w:hAnsi="Arial" w:cs="Arial"/>
          <w:sz w:val="12"/>
          <w:szCs w:val="12"/>
        </w:rPr>
        <w:tab/>
      </w:r>
      <w:r>
        <w:rPr>
          <w:rFonts w:ascii="Arial" w:hAnsi="Arial" w:cs="Arial"/>
          <w:sz w:val="12"/>
          <w:szCs w:val="12"/>
        </w:rPr>
        <w:tab/>
      </w:r>
      <w:r>
        <w:rPr>
          <w:rFonts w:ascii="Arial" w:hAnsi="Arial" w:cs="Arial"/>
          <w:sz w:val="12"/>
          <w:szCs w:val="12"/>
        </w:rPr>
        <w:tab/>
      </w:r>
      <w:r>
        <w:rPr>
          <w:rFonts w:ascii="Arial" w:hAnsi="Arial" w:cs="Arial"/>
          <w:sz w:val="12"/>
          <w:szCs w:val="12"/>
        </w:rPr>
        <w:tab/>
      </w:r>
      <w:r>
        <w:rPr>
          <w:rFonts w:ascii="Arial" w:hAnsi="Arial" w:cs="Arial"/>
          <w:sz w:val="12"/>
          <w:szCs w:val="12"/>
        </w:rPr>
        <w:tab/>
      </w:r>
      <w:r>
        <w:rPr>
          <w:rFonts w:ascii="Arial" w:hAnsi="Arial" w:cs="Arial"/>
          <w:sz w:val="12"/>
          <w:szCs w:val="12"/>
        </w:rPr>
        <w:tab/>
        <w:t xml:space="preserve">      </w:t>
      </w:r>
      <w:r>
        <w:rPr>
          <w:rFonts w:ascii="Arial" w:hAnsi="Arial" w:cs="Arial"/>
          <w:sz w:val="20"/>
          <w:szCs w:val="20"/>
        </w:rPr>
        <w:t xml:space="preserve"> --- Encarta</w:t>
      </w:r>
      <w:r>
        <w:rPr>
          <w:rFonts w:ascii="Arial" w:hAnsi="Arial" w:cs="Arial"/>
          <w:sz w:val="20"/>
          <w:szCs w:val="20"/>
        </w:rPr>
        <w:tab/>
      </w:r>
      <w:r>
        <w:rPr>
          <w:rFonts w:ascii="Arial" w:hAnsi="Arial" w:cs="Arial"/>
          <w:sz w:val="20"/>
          <w:szCs w:val="20"/>
        </w:rPr>
        <w:tab/>
      </w:r>
    </w:p>
    <w:p w:rsidR="00BA6649" w:rsidRDefault="00BA6649">
      <w:pPr>
        <w:widowControl w:val="0"/>
        <w:autoSpaceDE w:val="0"/>
        <w:autoSpaceDN w:val="0"/>
        <w:adjustRightInd w:val="0"/>
        <w:spacing w:after="0" w:line="240" w:lineRule="auto"/>
        <w:rPr>
          <w:rFonts w:ascii="Arial" w:hAnsi="Arial" w:cs="Arial"/>
          <w:sz w:val="28"/>
          <w:szCs w:val="28"/>
        </w:rPr>
      </w:pPr>
    </w:p>
    <w:p w:rsidR="00BA6649" w:rsidRDefault="00783A88">
      <w:pPr>
        <w:widowControl w:val="0"/>
        <w:autoSpaceDE w:val="0"/>
        <w:autoSpaceDN w:val="0"/>
        <w:adjustRightInd w:val="0"/>
        <w:spacing w:after="0" w:line="240" w:lineRule="auto"/>
        <w:rPr>
          <w:rFonts w:ascii="Arial" w:hAnsi="Arial" w:cs="Arial"/>
          <w:sz w:val="20"/>
          <w:szCs w:val="20"/>
        </w:rPr>
      </w:pPr>
      <w:r>
        <w:rPr>
          <w:rFonts w:ascii="Arial" w:hAnsi="Arial" w:cs="Arial"/>
          <w:sz w:val="28"/>
          <w:szCs w:val="28"/>
        </w:rPr>
        <w:t xml:space="preserve"> </w:t>
      </w:r>
      <w:r w:rsidR="00BA6649">
        <w:rPr>
          <w:rFonts w:ascii="Arial" w:hAnsi="Arial" w:cs="Arial"/>
          <w:sz w:val="28"/>
          <w:szCs w:val="28"/>
        </w:rPr>
        <w:t xml:space="preserve"> ~~~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roofErr w:type="spellStart"/>
      <w:r w:rsidR="00BA6649">
        <w:rPr>
          <w:rFonts w:ascii="Arial" w:hAnsi="Arial" w:cs="Arial"/>
          <w:sz w:val="28"/>
          <w:szCs w:val="28"/>
        </w:rPr>
        <w:t>~~~</w:t>
      </w:r>
      <w:proofErr w:type="spellEnd"/>
      <w:r w:rsidR="00BA6649">
        <w:rPr>
          <w:rFonts w:ascii="Arial" w:hAnsi="Arial" w:cs="Arial"/>
          <w:sz w:val="28"/>
          <w:szCs w:val="28"/>
        </w:rPr>
        <w:t xml:space="preserve">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Times New Roman" w:hAnsi="Times New Roman"/>
          <w:sz w:val="24"/>
          <w:szCs w:val="24"/>
        </w:rPr>
      </w:pPr>
    </w:p>
    <w:p w:rsidR="00BA6649" w:rsidRDefault="00BA6649">
      <w:pPr>
        <w:widowControl w:val="0"/>
        <w:autoSpaceDE w:val="0"/>
        <w:autoSpaceDN w:val="0"/>
        <w:adjustRightInd w:val="0"/>
        <w:spacing w:after="0" w:line="240" w:lineRule="auto"/>
        <w:rPr>
          <w:rFonts w:ascii="Times New Roman" w:hAnsi="Times New Roman"/>
          <w:sz w:val="24"/>
          <w:szCs w:val="24"/>
        </w:rPr>
      </w:pPr>
    </w:p>
    <w:p w:rsidR="00BA6649" w:rsidRDefault="00BA6649">
      <w:pPr>
        <w:widowControl w:val="0"/>
        <w:autoSpaceDE w:val="0"/>
        <w:autoSpaceDN w:val="0"/>
        <w:adjustRightInd w:val="0"/>
        <w:spacing w:after="0" w:line="240" w:lineRule="auto"/>
        <w:rPr>
          <w:rFonts w:ascii="Times New Roman" w:hAnsi="Times New Roman"/>
          <w:sz w:val="24"/>
          <w:szCs w:val="24"/>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The United States, Russia, Europe, and Security: How to Address the “Unfinished Business” of the Post–Cold War Era</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Isabelle François    -   </w:t>
      </w:r>
      <w:proofErr w:type="spellStart"/>
      <w:r>
        <w:rPr>
          <w:rFonts w:ascii="Arial" w:hAnsi="Arial" w:cs="Arial"/>
          <w:sz w:val="20"/>
          <w:szCs w:val="20"/>
        </w:rPr>
        <w:t>TransatlantIc</w:t>
      </w:r>
      <w:proofErr w:type="spellEnd"/>
      <w:r>
        <w:rPr>
          <w:rFonts w:ascii="Arial" w:hAnsi="Arial" w:cs="Arial"/>
          <w:sz w:val="20"/>
          <w:szCs w:val="20"/>
        </w:rPr>
        <w:t xml:space="preserve"> Perspectives     -      April 2012</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Center for Transatlantic Security Studies - Institute for National Strategic Studies</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National Defense University</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2012, the U.S. Department of Defense published Sustaining U.S. Global Leadership: Priorities for 21st Century Defense. In this strategy document, the Defense Department outlines the new focus of U.S. efforts on threats emanating primarily from South Asia and the Middle East, spelling out the U.S. commitment to address them by working with allies and partners, acknowledging Europe as the “home to some of America’s most stalwart allies and partners.”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document characterizes engagement with Russia as important and reiterates U.S. commitment to continue efforts toward building a closer relationship in areas of mutual interest, encouraging Russia to be a contributor across a broad range of issues.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strategic environment will   . . .   remain one of partnership with Europe and Russia as nations work out the consequences of a rebalancing of forces in the near future.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addition, the United States will be hosting the next NATO summit in Chicago on May 20–21, 2012. This will be an opportunity to send a strong message of Alliance solidarity in the face of budgetary </w:t>
      </w:r>
      <w:r>
        <w:rPr>
          <w:rFonts w:ascii="Arial" w:hAnsi="Arial" w:cs="Arial"/>
          <w:sz w:val="20"/>
          <w:szCs w:val="20"/>
        </w:rPr>
        <w:lastRenderedPageBreak/>
        <w:t>restraints   . . .    limited resources.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NATO summit might also provide an opportunity to consider what this means for NATO-Russia cooperation in an age of austerity.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had felt for some time that it could no longer be the object of derision and accept the post–Cold War settlement, which was incompatible with its core national interests but had not been opposed by Moscow in the early 1990s owing to Russia’s own weaknesses at the time.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Russian actions in Georgia    . . .  served as justification for the Cold War warriors who called for punishment for what they perceived as an aggressive and anachronistic policy toward Russia’s weak southern neighbor. Diverging interpretations of Russian actions in summer 2008 reinforced differences within the Alliance   . . .    The suspension of political dialogue and military cooperation between Russia and NATO resulted in polarized positions within the Alliance to this day, which   . . .   hampers the development of an inclusive security community in Europe.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polarization may have been rooted in a fundamental misunderstanding    . . .  Recognizing the Russian position and taking it into account in the evolution of the NATO-Russia relationship, however, seemed impossible.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Russian leaders are operating within a strategic culture markedly different from the value-based approach that predominates within the Western community of liberal democracies.    . . .    Putin’s Russia has been predominantly influenced by a desire to build a “strong state”    . . .   Most Western liberal democracies see the use of armed forces as a last resort and diplomacy as the art of avoiding crises. In Russia, the use of armed forces is very much an instrument of foreign policy   . . .  it is considered a legitimate and useful means to assert strategic goals.    . . .  The Russian leadership usually welcomes efforts to bridge the divisions between the parties and to work more cooperatively.    . . .    Russian leadership knows that the country is weak.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While the countries of Central and Eastern Europe still fear the perceived threat of Russia, the countries of Western and Southern Europe are more focused on new security challenges. Some have characterized the debate as a controversy between the “enlightened disarmers” who follow President Obama’s call for nuclear disarmament   . . .   and the “Cold War warriors” of Central and Eastern Europe    . . .   The development of a holistic approach begs for urgently engaging Moscow with an offer to discuss the ultimate withdrawal of all </w:t>
      </w:r>
      <w:proofErr w:type="spellStart"/>
      <w:r>
        <w:rPr>
          <w:rFonts w:ascii="Arial" w:hAnsi="Arial" w:cs="Arial"/>
          <w:sz w:val="20"/>
          <w:szCs w:val="20"/>
        </w:rPr>
        <w:t>substrategic</w:t>
      </w:r>
      <w:proofErr w:type="spellEnd"/>
      <w:r>
        <w:rPr>
          <w:rFonts w:ascii="Arial" w:hAnsi="Arial" w:cs="Arial"/>
          <w:sz w:val="20"/>
          <w:szCs w:val="20"/>
        </w:rPr>
        <w:t xml:space="preserve"> nuclear weapons from Europe    . . .    There are still some who argue that NATO members in Lisbon did not establish Russian reciprocity as a direct and explicit precondition for future changes of NATO’s nuclear posture, but, in the end, one can safely say that there is at minimum a constructive ambiguity.    . . .    Declining defense budgets will result in Allies shedding rather than adding conventional capabilities, making it difficult for conventional forces to assume a greater share of the load in the mix with nuclear and missile defense forces.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 may   . . .   have to acknowledge that   . . .   Russia will rely on nuclear weapons to compensate for the imbalance as long as it perceives a conventional superiority of NATO forces in Europe. Only when this Russian perception is assuaged will it be possible to find a solution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---http://ndupress.ndu.edu/Portals/68/Documents/archives/transper/CTSS-TransPers-2.pdf</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No Genocide, No al </w:t>
      </w:r>
      <w:proofErr w:type="spellStart"/>
      <w:r>
        <w:rPr>
          <w:rFonts w:ascii="Times New Roman" w:hAnsi="Times New Roman"/>
          <w:sz w:val="28"/>
          <w:szCs w:val="28"/>
        </w:rPr>
        <w:t>qaeda</w:t>
      </w:r>
      <w:proofErr w:type="spellEnd"/>
      <w:r>
        <w:rPr>
          <w:rFonts w:ascii="Times New Roman" w:hAnsi="Times New Roman"/>
          <w:sz w:val="28"/>
          <w:szCs w:val="28"/>
        </w:rPr>
        <w:t xml:space="preserve">, No Division of </w:t>
      </w:r>
      <w:proofErr w:type="spellStart"/>
      <w:proofErr w:type="gramStart"/>
      <w:r>
        <w:rPr>
          <w:rFonts w:ascii="Times New Roman" w:hAnsi="Times New Roman"/>
          <w:sz w:val="28"/>
          <w:szCs w:val="28"/>
        </w:rPr>
        <w:t>iraq</w:t>
      </w:r>
      <w:proofErr w:type="spellEnd"/>
      <w:proofErr w:type="gramEnd"/>
    </w:p>
    <w:p w:rsidR="00BA6649" w:rsidRDefault="00BA66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Shawn Brimley</w:t>
      </w:r>
      <w:r w:rsidR="00783A88">
        <w:rPr>
          <w:rFonts w:ascii="Arial" w:hAnsi="Arial" w:cs="Arial"/>
          <w:sz w:val="20"/>
          <w:szCs w:val="20"/>
        </w:rPr>
        <w:t xml:space="preserve"> &amp; </w:t>
      </w:r>
      <w:proofErr w:type="spellStart"/>
      <w:r>
        <w:rPr>
          <w:rFonts w:ascii="Arial" w:hAnsi="Arial" w:cs="Arial"/>
          <w:sz w:val="20"/>
          <w:szCs w:val="20"/>
        </w:rPr>
        <w:t>Michèle</w:t>
      </w:r>
      <w:proofErr w:type="spellEnd"/>
      <w:r>
        <w:rPr>
          <w:rFonts w:ascii="Arial" w:hAnsi="Arial" w:cs="Arial"/>
          <w:sz w:val="20"/>
          <w:szCs w:val="20"/>
        </w:rPr>
        <w:t xml:space="preserve"> </w:t>
      </w:r>
      <w:proofErr w:type="spellStart"/>
      <w:r>
        <w:rPr>
          <w:rFonts w:ascii="Arial" w:hAnsi="Arial" w:cs="Arial"/>
          <w:sz w:val="20"/>
          <w:szCs w:val="20"/>
        </w:rPr>
        <w:t>Flournoy</w:t>
      </w:r>
      <w:proofErr w:type="spellEnd"/>
      <w:r>
        <w:rPr>
          <w:rFonts w:ascii="Arial" w:hAnsi="Arial" w:cs="Arial"/>
          <w:sz w:val="20"/>
          <w:szCs w:val="20"/>
        </w:rPr>
        <w:t xml:space="preserve">, </w:t>
      </w:r>
      <w:proofErr w:type="gramStart"/>
      <w:r>
        <w:rPr>
          <w:rFonts w:ascii="Arial" w:hAnsi="Arial" w:cs="Arial"/>
          <w:sz w:val="20"/>
          <w:szCs w:val="20"/>
        </w:rPr>
        <w:t>CNAS  -</w:t>
      </w:r>
      <w:proofErr w:type="gramEnd"/>
      <w:r>
        <w:rPr>
          <w:rFonts w:ascii="Arial" w:hAnsi="Arial" w:cs="Arial"/>
          <w:sz w:val="20"/>
          <w:szCs w:val="20"/>
        </w:rPr>
        <w:t xml:space="preserve">   democracyjournal.org   -   Fall 2007</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last four years of war should serve as proof that the export of democracy by force is a fool’s errand. Democracy is the end result of a long evolutionary process, certainly not something that an external power can forcibly graft onto a region with centuries of grievances.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war has fanned the flames of extremism throughout the Middle East, leaving the region more vulnerable to radical jihadists than ever before.    . . .   The U.S. invasion and occupation of Iraq has undermined U.S. moral authority, credibility, and standing in the Middle East, greatly weakening its ability to influence    . . .   It is vital that America shift its strategy in Iraq from one based on hope to one based on realism.</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current approach to Iraq — the so-called “surge” — is premised on the hope that additional American troops can reduce the violence in and around Baghdad enough to allow Iraq’s </w:t>
      </w:r>
      <w:proofErr w:type="spellStart"/>
      <w:r>
        <w:rPr>
          <w:rFonts w:ascii="Arial" w:hAnsi="Arial" w:cs="Arial"/>
          <w:sz w:val="20"/>
          <w:szCs w:val="20"/>
        </w:rPr>
        <w:t>Shia</w:t>
      </w:r>
      <w:proofErr w:type="spellEnd"/>
      <w:r>
        <w:rPr>
          <w:rFonts w:ascii="Arial" w:hAnsi="Arial" w:cs="Arial"/>
          <w:sz w:val="20"/>
          <w:szCs w:val="20"/>
        </w:rPr>
        <w:t xml:space="preserve">-dominated central government to pursue political reconciliation. There is little to no indication that Prime Minister </w:t>
      </w:r>
      <w:proofErr w:type="spellStart"/>
      <w:r>
        <w:rPr>
          <w:rFonts w:ascii="Arial" w:hAnsi="Arial" w:cs="Arial"/>
          <w:sz w:val="20"/>
          <w:szCs w:val="20"/>
        </w:rPr>
        <w:t>Nouri</w:t>
      </w:r>
      <w:proofErr w:type="spellEnd"/>
      <w:r>
        <w:rPr>
          <w:rFonts w:ascii="Arial" w:hAnsi="Arial" w:cs="Arial"/>
          <w:sz w:val="20"/>
          <w:szCs w:val="20"/>
        </w:rPr>
        <w:t xml:space="preserve"> </w:t>
      </w:r>
      <w:proofErr w:type="spellStart"/>
      <w:r>
        <w:rPr>
          <w:rFonts w:ascii="Arial" w:hAnsi="Arial" w:cs="Arial"/>
          <w:sz w:val="20"/>
          <w:szCs w:val="20"/>
        </w:rPr>
        <w:t>Kamal</w:t>
      </w:r>
      <w:proofErr w:type="spellEnd"/>
      <w:r>
        <w:rPr>
          <w:rFonts w:ascii="Arial" w:hAnsi="Arial" w:cs="Arial"/>
          <w:sz w:val="20"/>
          <w:szCs w:val="20"/>
        </w:rPr>
        <w:t xml:space="preserve"> al </w:t>
      </w:r>
      <w:proofErr w:type="spellStart"/>
      <w:r>
        <w:rPr>
          <w:rFonts w:ascii="Arial" w:hAnsi="Arial" w:cs="Arial"/>
          <w:sz w:val="20"/>
          <w:szCs w:val="20"/>
        </w:rPr>
        <w:t>Maliki</w:t>
      </w:r>
      <w:proofErr w:type="spellEnd"/>
      <w:r>
        <w:rPr>
          <w:rFonts w:ascii="Arial" w:hAnsi="Arial" w:cs="Arial"/>
          <w:sz w:val="20"/>
          <w:szCs w:val="20"/>
        </w:rPr>
        <w:t xml:space="preserve"> has the willingness and ability to do so. In essence, American strategy in Iraq is entirely premised on an assumption regarding </w:t>
      </w:r>
      <w:proofErr w:type="spellStart"/>
      <w:r>
        <w:rPr>
          <w:rFonts w:ascii="Arial" w:hAnsi="Arial" w:cs="Arial"/>
          <w:sz w:val="20"/>
          <w:szCs w:val="20"/>
        </w:rPr>
        <w:t>Maliki’s</w:t>
      </w:r>
      <w:proofErr w:type="spellEnd"/>
      <w:r>
        <w:rPr>
          <w:rFonts w:ascii="Arial" w:hAnsi="Arial" w:cs="Arial"/>
          <w:sz w:val="20"/>
          <w:szCs w:val="20"/>
        </w:rPr>
        <w:t xml:space="preserve"> intention and capacity that will likely prove false.    . . .   Policymakers need to acknowledge that both maintaining the current strategy and withdrawing quickly are unrealistic choices   . . .  A gradual withdrawal over a few years, complemented by a robust advisory effort on the scale advocated by the Iraq Study Group, constitutes the best of many bad options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http://www.democracyjournal.org/pdf/6/Fall07.FlournoyBrimley.pdf</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Strengthen Regional Cooperation</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Charles </w:t>
      </w:r>
      <w:proofErr w:type="spellStart"/>
      <w:r>
        <w:rPr>
          <w:rFonts w:ascii="Arial" w:hAnsi="Arial" w:cs="Arial"/>
          <w:sz w:val="20"/>
          <w:szCs w:val="20"/>
        </w:rPr>
        <w:t>Kupchan</w:t>
      </w:r>
      <w:proofErr w:type="spellEnd"/>
      <w:r>
        <w:rPr>
          <w:rFonts w:ascii="Arial" w:hAnsi="Arial" w:cs="Arial"/>
          <w:sz w:val="20"/>
          <w:szCs w:val="20"/>
        </w:rPr>
        <w:t xml:space="preserve">    -   democracyjournal.org    -     Issue #6, </w:t>
      </w:r>
      <w:proofErr w:type="gramStart"/>
      <w:r>
        <w:rPr>
          <w:rFonts w:ascii="Arial" w:hAnsi="Arial" w:cs="Arial"/>
          <w:sz w:val="20"/>
          <w:szCs w:val="20"/>
        </w:rPr>
        <w:t>Fall</w:t>
      </w:r>
      <w:proofErr w:type="gramEnd"/>
      <w:r>
        <w:rPr>
          <w:rFonts w:ascii="Arial" w:hAnsi="Arial" w:cs="Arial"/>
          <w:sz w:val="20"/>
          <w:szCs w:val="20"/>
        </w:rPr>
        <w:t xml:space="preserve"> 2007</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invasion of Iraq has stirred up sectarian tensions well beyond Iraq’s borders and destroyed the regional balance of power that had existed between  . . .  Iran and   . . .  Saddam Hussein.     . . .    Cooperation, not    . . .   balance of power or democratization, should become the focus of American strategy.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Washington should   . . .   put a premium on engaging Tehran, seeking to transform it   . . .    into a net contributor to security.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GCC has not lived up to its own initial expectations; instead of pursuing multilateral cooperation with one another, its members have been investing in bilateral security ties to the United States. It is also the case that the GCC excludes the Gulf’s two dominant powers – Iran and Iraq.     . . .    Iraq is no longer an expansionist threat to the Arabian Peninsula; thus for the first time, the GCC may well be able to work with Iraq, rather than against it.   . . .   Iraq and Iran are poised to put their destructive rivalry behind them, and GCC states will no longer be forced to choose sides.    . . .   To be sure, the GCC is dominated by conservative Sunni regimes, making them awkward partners for the </w:t>
      </w:r>
      <w:proofErr w:type="spellStart"/>
      <w:r>
        <w:rPr>
          <w:rFonts w:ascii="Arial" w:hAnsi="Arial" w:cs="Arial"/>
          <w:sz w:val="20"/>
          <w:szCs w:val="20"/>
        </w:rPr>
        <w:t>Shia</w:t>
      </w:r>
      <w:proofErr w:type="spellEnd"/>
      <w:r>
        <w:rPr>
          <w:rFonts w:ascii="Arial" w:hAnsi="Arial" w:cs="Arial"/>
          <w:sz w:val="20"/>
          <w:szCs w:val="20"/>
        </w:rPr>
        <w:t>-led governments in Iraq and Iran. But the GCC can turn this potential obstacle into an advantage.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prospect provides good reason for the United States to bring Iran to heel   . . .     by pursuing a cautious strategy of normalization    . . .  Deft U.S. diplomacy can help weaken a regime that already appears to be losing its popularity and its grip on power.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http://www.democracyjournal.org/6/6558.php</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gamblers,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gamblers,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gamblers,</w:t>
      </w:r>
    </w:p>
    <w:p w:rsidR="00BA6649" w:rsidRDefault="00BA6649">
      <w:pPr>
        <w:widowControl w:val="0"/>
        <w:autoSpaceDE w:val="0"/>
        <w:autoSpaceDN w:val="0"/>
        <w:adjustRightInd w:val="0"/>
        <w:spacing w:after="0" w:line="240" w:lineRule="auto"/>
        <w:ind w:left="1728"/>
        <w:rPr>
          <w:rFonts w:ascii="Arial" w:hAnsi="Arial" w:cs="Arial"/>
          <w:sz w:val="20"/>
          <w:szCs w:val="20"/>
        </w:rPr>
      </w:pPr>
      <w:proofErr w:type="gramStart"/>
      <w:r>
        <w:rPr>
          <w:rFonts w:ascii="Arial" w:hAnsi="Arial" w:cs="Arial"/>
          <w:sz w:val="20"/>
          <w:szCs w:val="20"/>
        </w:rPr>
        <w:t>no</w:t>
      </w:r>
      <w:proofErr w:type="gramEnd"/>
      <w:r>
        <w:rPr>
          <w:rFonts w:ascii="Arial" w:hAnsi="Arial" w:cs="Arial"/>
          <w:sz w:val="20"/>
          <w:szCs w:val="20"/>
        </w:rPr>
        <w:t xml:space="preserve"> crap shooters, no midnight ramblers,</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gamblers,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liars,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liars,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liars,</w:t>
      </w:r>
    </w:p>
    <w:p w:rsidR="00BA6649" w:rsidRDefault="00BA6649">
      <w:pPr>
        <w:widowControl w:val="0"/>
        <w:autoSpaceDE w:val="0"/>
        <w:autoSpaceDN w:val="0"/>
        <w:adjustRightInd w:val="0"/>
        <w:spacing w:after="0" w:line="240" w:lineRule="auto"/>
        <w:ind w:left="1728"/>
        <w:rPr>
          <w:rFonts w:ascii="Arial" w:hAnsi="Arial" w:cs="Arial"/>
          <w:sz w:val="20"/>
          <w:szCs w:val="20"/>
        </w:rPr>
      </w:pPr>
      <w:proofErr w:type="gramStart"/>
      <w:r>
        <w:rPr>
          <w:rFonts w:ascii="Arial" w:hAnsi="Arial" w:cs="Arial"/>
          <w:sz w:val="20"/>
          <w:szCs w:val="20"/>
        </w:rPr>
        <w:t>no</w:t>
      </w:r>
      <w:proofErr w:type="gramEnd"/>
      <w:r>
        <w:rPr>
          <w:rFonts w:ascii="Arial" w:hAnsi="Arial" w:cs="Arial"/>
          <w:sz w:val="20"/>
          <w:szCs w:val="20"/>
        </w:rPr>
        <w:t xml:space="preserve"> pretenders and no high flyers</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liars,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rustlers,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rustlers,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rustlers,</w:t>
      </w:r>
    </w:p>
    <w:p w:rsidR="00BA6649" w:rsidRDefault="00BA6649">
      <w:pPr>
        <w:widowControl w:val="0"/>
        <w:autoSpaceDE w:val="0"/>
        <w:autoSpaceDN w:val="0"/>
        <w:adjustRightInd w:val="0"/>
        <w:spacing w:after="0" w:line="240" w:lineRule="auto"/>
        <w:ind w:left="1728"/>
        <w:rPr>
          <w:rFonts w:ascii="Arial" w:hAnsi="Arial" w:cs="Arial"/>
          <w:sz w:val="20"/>
          <w:szCs w:val="20"/>
        </w:rPr>
      </w:pPr>
      <w:proofErr w:type="spellStart"/>
      <w:r>
        <w:rPr>
          <w:rFonts w:ascii="Arial" w:hAnsi="Arial" w:cs="Arial"/>
          <w:sz w:val="20"/>
          <w:szCs w:val="20"/>
        </w:rPr>
        <w:t>Sidestreet</w:t>
      </w:r>
      <w:proofErr w:type="spellEnd"/>
      <w:r>
        <w:rPr>
          <w:rFonts w:ascii="Arial" w:hAnsi="Arial" w:cs="Arial"/>
          <w:sz w:val="20"/>
          <w:szCs w:val="20"/>
        </w:rPr>
        <w:t xml:space="preserve"> walkers, two bit hustlers,</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This train is bound for glory,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jokers,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jokers,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jokers</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No small tippers and cigarette smokers</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jokers,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con men,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con men, this train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con men,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No wheeler dealers, here and gone men,</w:t>
      </w:r>
    </w:p>
    <w:p w:rsidR="00BA6649" w:rsidRDefault="00BA6649">
      <w:pPr>
        <w:widowControl w:val="0"/>
        <w:autoSpaceDE w:val="0"/>
        <w:autoSpaceDN w:val="0"/>
        <w:adjustRightInd w:val="0"/>
        <w:spacing w:after="0" w:line="240" w:lineRule="auto"/>
        <w:ind w:left="1728"/>
        <w:rPr>
          <w:rFonts w:ascii="Arial" w:hAnsi="Arial" w:cs="Arial"/>
          <w:sz w:val="20"/>
          <w:szCs w:val="20"/>
        </w:rPr>
      </w:pPr>
      <w:r>
        <w:rPr>
          <w:rFonts w:ascii="Arial" w:hAnsi="Arial" w:cs="Arial"/>
          <w:sz w:val="20"/>
          <w:szCs w:val="20"/>
        </w:rPr>
        <w:t xml:space="preserve">This train don't carry </w:t>
      </w:r>
      <w:proofErr w:type="gramStart"/>
      <w:r>
        <w:rPr>
          <w:rFonts w:ascii="Arial" w:hAnsi="Arial" w:cs="Arial"/>
          <w:sz w:val="20"/>
          <w:szCs w:val="20"/>
        </w:rPr>
        <w:t>no</w:t>
      </w:r>
      <w:proofErr w:type="gramEnd"/>
      <w:r>
        <w:rPr>
          <w:rFonts w:ascii="Arial" w:hAnsi="Arial" w:cs="Arial"/>
          <w:sz w:val="20"/>
          <w:szCs w:val="20"/>
        </w:rPr>
        <w:t xml:space="preserve"> con men, this train</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783A88" w:rsidRDefault="00783A88">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Collins' wetlands comments outrage environmentalists</w:t>
      </w: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Brook Sabin   -   May 6, 2014</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embarrassment for the Government has lurched out of an interview with Judith Collins over the weekend. The [New Zealand] Justice Minister has outraged environmentalists with her comments about digging up ecologically sensitive wetlands.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interview on Sunday, she told 3 News to go and find someone who cared because she didn't.  3 News did find   . . .  someone    . . .   Conservation Minister Nick Smith.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Last week 3rd Degree revealed an estimated $50 million worth of   . . .   swamp kauri – has been stocked piled in Northland under the name </w:t>
      </w:r>
      <w:proofErr w:type="spellStart"/>
      <w:r>
        <w:rPr>
          <w:rFonts w:ascii="Arial" w:hAnsi="Arial" w:cs="Arial"/>
          <w:sz w:val="20"/>
          <w:szCs w:val="20"/>
        </w:rPr>
        <w:t>Oravida</w:t>
      </w:r>
      <w:proofErr w:type="spellEnd"/>
      <w:r>
        <w:rPr>
          <w:rFonts w:ascii="Arial" w:hAnsi="Arial" w:cs="Arial"/>
          <w:sz w:val="20"/>
          <w:szCs w:val="20"/>
        </w:rPr>
        <w:t xml:space="preserve"> Kauri [a] business linked to </w:t>
      </w:r>
      <w:proofErr w:type="spellStart"/>
      <w:r>
        <w:rPr>
          <w:rFonts w:ascii="Arial" w:hAnsi="Arial" w:cs="Arial"/>
          <w:sz w:val="20"/>
          <w:szCs w:val="20"/>
        </w:rPr>
        <w:t>Oravida</w:t>
      </w:r>
      <w:proofErr w:type="spellEnd"/>
      <w:r>
        <w:rPr>
          <w:rFonts w:ascii="Arial" w:hAnsi="Arial" w:cs="Arial"/>
          <w:sz w:val="20"/>
          <w:szCs w:val="20"/>
        </w:rPr>
        <w:t xml:space="preserve"> and Ms Collins' husband.</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Numerous companies, not just </w:t>
      </w:r>
      <w:proofErr w:type="spellStart"/>
      <w:r>
        <w:rPr>
          <w:rFonts w:ascii="Arial" w:hAnsi="Arial" w:cs="Arial"/>
          <w:sz w:val="20"/>
          <w:szCs w:val="20"/>
        </w:rPr>
        <w:t>Oravida</w:t>
      </w:r>
      <w:proofErr w:type="spellEnd"/>
      <w:r>
        <w:rPr>
          <w:rFonts w:ascii="Arial" w:hAnsi="Arial" w:cs="Arial"/>
          <w:sz w:val="20"/>
          <w:szCs w:val="20"/>
        </w:rPr>
        <w:t>, are involved in selling swamp kauri, and environmentalists claim much of it is extracted from protected wetlands.    . . .    Ms Collins said she had no idea environmentalists were concerned about digging up wetland areas.    . . .   Ms Collins said the concerns have nothing to do with her.  "Does that have anything to do with me? Am I the minister of wetlands? Go and find someone who actually cares about this, because I don't," she said.</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gramStart"/>
      <w:r>
        <w:rPr>
          <w:rFonts w:ascii="Arial" w:hAnsi="Arial" w:cs="Arial"/>
          <w:sz w:val="20"/>
          <w:szCs w:val="20"/>
        </w:rPr>
        <w:t>There's</w:t>
      </w:r>
      <w:proofErr w:type="gramEnd"/>
      <w:r>
        <w:rPr>
          <w:rFonts w:ascii="Arial" w:hAnsi="Arial" w:cs="Arial"/>
          <w:sz w:val="20"/>
          <w:szCs w:val="20"/>
        </w:rPr>
        <w:t xml:space="preserve"> a large number of our birds that depend on wetlands for their survival," said Dr [Nick] Smith.</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not my issue. I don't like wetlands – they're swamps," said Ms Collins.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---http://www.3news.co.nz/environmentsci/collins-wetlands-comments-outrage-environmentalists-2014050617</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Judith Collins</w:t>
      </w:r>
    </w:p>
    <w:p w:rsidR="00BA6649" w:rsidRDefault="00BA66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Judith Anne Collins (born 24 February 1959) is a New Zealand politician and lawyer. Born in Hamilton and now residing in Auckland, she graduated in law and taxation and worked in this field from 1981 until 2002, including running her own practice for a decade. She entered Parliament in 2002 election as an electorate MP for the centre-right National Party, and became a Cabinet minister when National came into government in 2008.</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Her Initial ministerial roles were Police, Corrections and Veterans' Affairs. After the 2011 election, her portfolios changed to Justice (including responsibility for the Law Commission), Accident Compensation Corporation (ACC) and Ethnic Affairs. With a fifth-placed ranking, she was the highest ranked woman in the current Cabinet. She resigned from Cabinet on 30 August 2014 following email leaks alleging she had undermined [this word seems to mean something akin to slandered] the head of the Serious Fraud Office when she was the Minister responsible for that </w:t>
      </w:r>
      <w:proofErr w:type="spellStart"/>
      <w:r>
        <w:rPr>
          <w:rFonts w:ascii="Arial" w:hAnsi="Arial" w:cs="Arial"/>
          <w:sz w:val="20"/>
          <w:szCs w:val="20"/>
        </w:rPr>
        <w:t>organisation</w:t>
      </w:r>
      <w:proofErr w:type="spellEnd"/>
      <w:r>
        <w:rPr>
          <w:rFonts w:ascii="Arial" w:hAnsi="Arial" w:cs="Arial"/>
          <w:sz w:val="20"/>
          <w:szCs w:val="20"/>
        </w:rPr>
        <w:t>.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Her parents were dairy farmers   . . .  and she was the youngest of six children  . . . Early in her married life, she and her husband briefly owned a restaurant   . . .   She initially supported the </w:t>
      </w:r>
      <w:proofErr w:type="spellStart"/>
      <w:r>
        <w:rPr>
          <w:rFonts w:ascii="Arial" w:hAnsi="Arial" w:cs="Arial"/>
          <w:sz w:val="20"/>
          <w:szCs w:val="20"/>
        </w:rPr>
        <w:t>Labour</w:t>
      </w:r>
      <w:proofErr w:type="spellEnd"/>
      <w:r>
        <w:rPr>
          <w:rFonts w:ascii="Arial" w:hAnsi="Arial" w:cs="Arial"/>
          <w:sz w:val="20"/>
          <w:szCs w:val="20"/>
        </w:rPr>
        <w:t xml:space="preserve"> Party, but joined the National Party in 1999. Collins was previously a member of </w:t>
      </w:r>
      <w:proofErr w:type="spellStart"/>
      <w:r>
        <w:rPr>
          <w:rFonts w:ascii="Arial" w:hAnsi="Arial" w:cs="Arial"/>
          <w:sz w:val="20"/>
          <w:szCs w:val="20"/>
        </w:rPr>
        <w:t>Zonta</w:t>
      </w:r>
      <w:proofErr w:type="spellEnd"/>
      <w:r>
        <w:rPr>
          <w:rFonts w:ascii="Arial" w:hAnsi="Arial" w:cs="Arial"/>
          <w:sz w:val="20"/>
          <w:szCs w:val="20"/>
        </w:rPr>
        <w:t xml:space="preserve"> International and of Rotary International.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2009, Collins questioned the leadership of, and later refused to express confidence in the Department of Corrections chief executive, Barry Matthews after a spate of bad publicity.  However after an enquiry by the State Services Commissioner Iain </w:t>
      </w:r>
      <w:proofErr w:type="spellStart"/>
      <w:r>
        <w:rPr>
          <w:rFonts w:ascii="Arial" w:hAnsi="Arial" w:cs="Arial"/>
          <w:sz w:val="20"/>
          <w:szCs w:val="20"/>
        </w:rPr>
        <w:t>Rennie</w:t>
      </w:r>
      <w:proofErr w:type="spellEnd"/>
      <w:r>
        <w:rPr>
          <w:rFonts w:ascii="Arial" w:hAnsi="Arial" w:cs="Arial"/>
          <w:sz w:val="20"/>
          <w:szCs w:val="20"/>
        </w:rPr>
        <w:t>, Matthews kept his job because Corrections had made efforts to improve and had warned the government of the day and the previous government that under-resourcing was putting public safety at risk.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her early years in parliament Collins   . . .   was nicknamed Crusher Collins when she proposed legislation to 'crush' the cars of persistent boy racers.  Collins described herself as the minister "who brought back deterrence".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a two-year investigation the Law Commission produced a report for government with 153 recommendations to reform New Zealand’s alcohol laws. While some legislative changes were passed in December 2012, the Opposition and health sector lobbyists say the   . . . final legislation "was a pale imitation of the landmark Law Commission report it was based on."</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Examples include Collins originally announcing a ban in May 2012 of RTDs (ready-to-drink) with 6 per cent alcohol or more from off-licenses. However in the face of criticism from the liquor industry, she back-tracked on this ban, and three months later announced that the industry would develop its own voluntary code   . . .    The Commission also recommended a 50 per cent tax increase on alcohol (which was dismissed immediately by the Government) and an increase in the purchase age, which was also dismissed    . . .   Collins herself voted to raise the purchase age.   . . .  Overall Collins said "the reforms struck a sensible balance by reducing the serious harm caused by alcohol without </w:t>
      </w:r>
      <w:proofErr w:type="spellStart"/>
      <w:r>
        <w:rPr>
          <w:rFonts w:ascii="Arial" w:hAnsi="Arial" w:cs="Arial"/>
          <w:sz w:val="20"/>
          <w:szCs w:val="20"/>
        </w:rPr>
        <w:t>penalising</w:t>
      </w:r>
      <w:proofErr w:type="spellEnd"/>
      <w:r>
        <w:rPr>
          <w:rFonts w:ascii="Arial" w:hAnsi="Arial" w:cs="Arial"/>
          <w:sz w:val="20"/>
          <w:szCs w:val="20"/>
        </w:rPr>
        <w:t xml:space="preserve"> people who drank responsibly."    . . .   The </w:t>
      </w:r>
      <w:proofErr w:type="spellStart"/>
      <w:r>
        <w:rPr>
          <w:rFonts w:ascii="Arial" w:hAnsi="Arial" w:cs="Arial"/>
          <w:sz w:val="20"/>
          <w:szCs w:val="20"/>
        </w:rPr>
        <w:t>Labour</w:t>
      </w:r>
      <w:proofErr w:type="spellEnd"/>
      <w:r>
        <w:rPr>
          <w:rFonts w:ascii="Arial" w:hAnsi="Arial" w:cs="Arial"/>
          <w:sz w:val="20"/>
          <w:szCs w:val="20"/>
        </w:rPr>
        <w:t xml:space="preserve"> Party and Professor Doug </w:t>
      </w:r>
      <w:proofErr w:type="spellStart"/>
      <w:r>
        <w:rPr>
          <w:rFonts w:ascii="Arial" w:hAnsi="Arial" w:cs="Arial"/>
          <w:sz w:val="20"/>
          <w:szCs w:val="20"/>
        </w:rPr>
        <w:t>Sellman</w:t>
      </w:r>
      <w:proofErr w:type="spellEnd"/>
      <w:r>
        <w:rPr>
          <w:rFonts w:ascii="Arial" w:hAnsi="Arial" w:cs="Arial"/>
          <w:sz w:val="20"/>
          <w:szCs w:val="20"/>
        </w:rPr>
        <w:t xml:space="preserve"> of Alcohol Action stated that the changes were weak and would do little to reduce the harm caused by binge drinking. </w:t>
      </w:r>
      <w:proofErr w:type="spellStart"/>
      <w:r>
        <w:rPr>
          <w:rFonts w:ascii="Arial" w:hAnsi="Arial" w:cs="Arial"/>
          <w:sz w:val="20"/>
          <w:szCs w:val="20"/>
        </w:rPr>
        <w:t>Sellman</w:t>
      </w:r>
      <w:proofErr w:type="spellEnd"/>
      <w:r>
        <w:rPr>
          <w:rFonts w:ascii="Arial" w:hAnsi="Arial" w:cs="Arial"/>
          <w:sz w:val="20"/>
          <w:szCs w:val="20"/>
        </w:rPr>
        <w:t xml:space="preserve"> said: "It's called the Alcohol Reform Bill but it has no reforms in it".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May 2012, Collins sued </w:t>
      </w:r>
      <w:proofErr w:type="spellStart"/>
      <w:r>
        <w:rPr>
          <w:rFonts w:ascii="Arial" w:hAnsi="Arial" w:cs="Arial"/>
          <w:sz w:val="20"/>
          <w:szCs w:val="20"/>
        </w:rPr>
        <w:t>Labour</w:t>
      </w:r>
      <w:proofErr w:type="spellEnd"/>
      <w:r>
        <w:rPr>
          <w:rFonts w:ascii="Arial" w:hAnsi="Arial" w:cs="Arial"/>
          <w:sz w:val="20"/>
          <w:szCs w:val="20"/>
        </w:rPr>
        <w:t xml:space="preserve"> MPs Trevor Mallard and Andrew Little for defamation over comments they made on Radio New Zealand linking her to the leak of an email from Michelle </w:t>
      </w:r>
      <w:proofErr w:type="spellStart"/>
      <w:r>
        <w:rPr>
          <w:rFonts w:ascii="Arial" w:hAnsi="Arial" w:cs="Arial"/>
          <w:sz w:val="20"/>
          <w:szCs w:val="20"/>
        </w:rPr>
        <w:t>Boag</w:t>
      </w:r>
      <w:proofErr w:type="spellEnd"/>
      <w:r>
        <w:rPr>
          <w:rFonts w:ascii="Arial" w:hAnsi="Arial" w:cs="Arial"/>
          <w:sz w:val="20"/>
          <w:szCs w:val="20"/>
        </w:rPr>
        <w:t xml:space="preserve"> about [ACC claimant, Bronwyn] </w:t>
      </w:r>
      <w:proofErr w:type="spellStart"/>
      <w:r>
        <w:rPr>
          <w:rFonts w:ascii="Arial" w:hAnsi="Arial" w:cs="Arial"/>
          <w:sz w:val="20"/>
          <w:szCs w:val="20"/>
        </w:rPr>
        <w:t>Pullar's</w:t>
      </w:r>
      <w:proofErr w:type="spellEnd"/>
      <w:r>
        <w:rPr>
          <w:rFonts w:ascii="Arial" w:hAnsi="Arial" w:cs="Arial"/>
          <w:sz w:val="20"/>
          <w:szCs w:val="20"/>
        </w:rPr>
        <w:t xml:space="preserve"> case.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March 2014, Collins was accused of a conflict of interest after an overseas trip where she 'dropped in' and endorsed the milk produced by </w:t>
      </w:r>
      <w:proofErr w:type="spellStart"/>
      <w:r>
        <w:rPr>
          <w:rFonts w:ascii="Arial" w:hAnsi="Arial" w:cs="Arial"/>
          <w:sz w:val="20"/>
          <w:szCs w:val="20"/>
        </w:rPr>
        <w:t>Oravida</w:t>
      </w:r>
      <w:proofErr w:type="spellEnd"/>
      <w:r>
        <w:rPr>
          <w:rFonts w:ascii="Arial" w:hAnsi="Arial" w:cs="Arial"/>
          <w:sz w:val="20"/>
          <w:szCs w:val="20"/>
        </w:rPr>
        <w:t xml:space="preserve"> - a New Zealand company which exports to China - of which her husband is a director.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being admonished by the Prime Minister, Collins </w:t>
      </w:r>
      <w:proofErr w:type="spellStart"/>
      <w:r>
        <w:rPr>
          <w:rFonts w:ascii="Arial" w:hAnsi="Arial" w:cs="Arial"/>
          <w:sz w:val="20"/>
          <w:szCs w:val="20"/>
        </w:rPr>
        <w:t>apologised</w:t>
      </w:r>
      <w:proofErr w:type="spellEnd"/>
      <w:r>
        <w:rPr>
          <w:rFonts w:ascii="Arial" w:hAnsi="Arial" w:cs="Arial"/>
          <w:sz w:val="20"/>
          <w:szCs w:val="20"/>
        </w:rPr>
        <w:t xml:space="preserve"> and stated that she and a Chinese executive were 'very close personal friends'.  Over the following weeks the </w:t>
      </w:r>
      <w:proofErr w:type="spellStart"/>
      <w:r>
        <w:rPr>
          <w:rFonts w:ascii="Arial" w:hAnsi="Arial" w:cs="Arial"/>
          <w:sz w:val="20"/>
          <w:szCs w:val="20"/>
        </w:rPr>
        <w:t>Labour</w:t>
      </w:r>
      <w:proofErr w:type="spellEnd"/>
      <w:r>
        <w:rPr>
          <w:rFonts w:ascii="Arial" w:hAnsi="Arial" w:cs="Arial"/>
          <w:sz w:val="20"/>
          <w:szCs w:val="20"/>
        </w:rPr>
        <w:t xml:space="preserve"> Party continued asking who the Chinese official was. Collins did not provide his name, which House speaker David Carter described as "very unsatisfactory".  Prime Minister John Key stated publicly that Judith Collins was on her final warning over this incident.</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August 2014 the book Dirty Politics, written by Nicky Hager, revealed that Collins was friends with right-wing blogger Cameron Slater and had passed on private information to him about Simon Pleasants, a public servant at Internal Affairs.    . . .    A 3News-Reid Research poll taken at the time revealed that 63% of voters believed Prime Minister John Key should have stood Collins down over this incident.  </w:t>
      </w:r>
      <w:proofErr w:type="spellStart"/>
      <w:r>
        <w:rPr>
          <w:rFonts w:ascii="Arial" w:hAnsi="Arial" w:cs="Arial"/>
          <w:sz w:val="20"/>
          <w:szCs w:val="20"/>
        </w:rPr>
        <w:t>Mr</w:t>
      </w:r>
      <w:proofErr w:type="spellEnd"/>
      <w:r>
        <w:rPr>
          <w:rFonts w:ascii="Arial" w:hAnsi="Arial" w:cs="Arial"/>
          <w:sz w:val="20"/>
          <w:szCs w:val="20"/>
        </w:rPr>
        <w:t xml:space="preserve"> Key said Collins had been 'unwise' and placed on her second final warning.</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30 August 2014 Collins resigned her Cabinet positions following the leak of another email written by Slater in 2011 which suggested she had also attempted to undermine another public servant, Adam </w:t>
      </w:r>
      <w:proofErr w:type="spellStart"/>
      <w:r>
        <w:rPr>
          <w:rFonts w:ascii="Arial" w:hAnsi="Arial" w:cs="Arial"/>
          <w:sz w:val="20"/>
          <w:szCs w:val="20"/>
        </w:rPr>
        <w:t>Feeley</w:t>
      </w:r>
      <w:proofErr w:type="spellEnd"/>
      <w:r>
        <w:rPr>
          <w:rFonts w:ascii="Arial" w:hAnsi="Arial" w:cs="Arial"/>
          <w:sz w:val="20"/>
          <w:szCs w:val="20"/>
        </w:rPr>
        <w:t xml:space="preserve">. </w:t>
      </w:r>
      <w:proofErr w:type="spellStart"/>
      <w:r>
        <w:rPr>
          <w:rFonts w:ascii="Arial" w:hAnsi="Arial" w:cs="Arial"/>
          <w:sz w:val="20"/>
          <w:szCs w:val="20"/>
        </w:rPr>
        <w:t>Feeley</w:t>
      </w:r>
      <w:proofErr w:type="spellEnd"/>
      <w:r>
        <w:rPr>
          <w:rFonts w:ascii="Arial" w:hAnsi="Arial" w:cs="Arial"/>
          <w:sz w:val="20"/>
          <w:szCs w:val="20"/>
        </w:rPr>
        <w:t xml:space="preserve"> was Director of the Serious Fraud Office (SFO) and Collins was the Minister responsible for the SFO at the time.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sz w:val="20"/>
          <w:szCs w:val="20"/>
        </w:rPr>
        <w:t>--- http://en.wikipedia.org/wiki/Judith_Collins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 xml:space="preserve">Can the </w:t>
      </w:r>
      <w:proofErr w:type="spellStart"/>
      <w:r>
        <w:rPr>
          <w:rFonts w:ascii="Times New Roman" w:hAnsi="Times New Roman"/>
          <w:sz w:val="28"/>
          <w:szCs w:val="28"/>
        </w:rPr>
        <w:t>Ossis</w:t>
      </w:r>
      <w:proofErr w:type="spellEnd"/>
      <w:r>
        <w:rPr>
          <w:rFonts w:ascii="Times New Roman" w:hAnsi="Times New Roman"/>
          <w:sz w:val="28"/>
          <w:szCs w:val="28"/>
        </w:rPr>
        <w:t xml:space="preserve"> save Europe? Part 3 of 3</w:t>
      </w:r>
    </w:p>
    <w:p w:rsidR="00BA6649" w:rsidRDefault="00BA664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Guillaume Durocher     -      June 16, 2015</w:t>
      </w:r>
    </w:p>
    <w:p w:rsidR="00BA6649" w:rsidRDefault="00BA6649">
      <w:pPr>
        <w:widowControl w:val="0"/>
        <w:autoSpaceDE w:val="0"/>
        <w:autoSpaceDN w:val="0"/>
        <w:adjustRightInd w:val="0"/>
        <w:spacing w:after="0" w:line="240" w:lineRule="auto"/>
        <w:rPr>
          <w:rFonts w:ascii="Arial" w:hAnsi="Arial" w:cs="Arial"/>
          <w:sz w:val="12"/>
          <w:szCs w:val="12"/>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has one great, indeed unique, virtue. Gregory Hood has termed Putin’s regime “the one powerful white government that is not completely under the rule of the bankers and politically correct bureaucrats that rule the West.” Indeed, Russia is the last fully sovereign European-derived nation. Sovereignty exists in all spheres or not at all. Whatever one thinks of them, the Russians are indeed militarily, economically, geopolitically, culturally, and indeed psychologically sovereign like no other.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 today is more independent still than was France under President Charles de Gaulle in the 1960s, and is far likelier to remain so. In the rest of Europe, every nationalist government has gradually been subverted by the forces of disintegration at work in the West.</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 has grown weaker and less sovereign every year and is but a shadow of her former self; Spain and Portugal were seduced by the material promises of the European Economic Community, and Serbia was simply bombed and dismembered by NATO in collaboration with ethnic Albanian criminals and terrorists. The corruption and tribalism of NATO’s </w:t>
      </w:r>
      <w:proofErr w:type="spellStart"/>
      <w:r>
        <w:rPr>
          <w:rFonts w:ascii="Arial" w:hAnsi="Arial" w:cs="Arial"/>
          <w:sz w:val="20"/>
          <w:szCs w:val="20"/>
        </w:rPr>
        <w:t>Kosovar</w:t>
      </w:r>
      <w:proofErr w:type="spellEnd"/>
      <w:r>
        <w:rPr>
          <w:rFonts w:ascii="Arial" w:hAnsi="Arial" w:cs="Arial"/>
          <w:sz w:val="20"/>
          <w:szCs w:val="20"/>
        </w:rPr>
        <w:t xml:space="preserve"> allies are truly remarkable, the worst example being outright organ trafficking. [http://en.wikipedia.org/wiki/Organ_theft_in_Kosovo]</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Every attempt at emancipation from the American Empire, whether General de Gaulle’s Fifth Republic, François Mitterrand’s creation of a European currency, or Slobodan </w:t>
      </w:r>
      <w:proofErr w:type="spellStart"/>
      <w:r>
        <w:rPr>
          <w:rFonts w:ascii="Arial" w:hAnsi="Arial" w:cs="Arial"/>
          <w:sz w:val="20"/>
          <w:szCs w:val="20"/>
        </w:rPr>
        <w:t>Miloševic’s</w:t>
      </w:r>
      <w:proofErr w:type="spellEnd"/>
      <w:r>
        <w:rPr>
          <w:rFonts w:ascii="Arial" w:hAnsi="Arial" w:cs="Arial"/>
          <w:sz w:val="20"/>
          <w:szCs w:val="20"/>
        </w:rPr>
        <w:t xml:space="preserve"> efforts to maintain Yugoslavia, has ended in failure. All have been dissolved by the culture of critique, multinational corporate interests, and the pleasures of individualist consumerism, or simply destroyed through violence.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 crisis over Ukraine</w:t>
      </w:r>
      <w:proofErr w:type="gramStart"/>
      <w:r>
        <w:rPr>
          <w:rFonts w:ascii="Arial" w:hAnsi="Arial" w:cs="Arial"/>
          <w:sz w:val="20"/>
          <w:szCs w:val="20"/>
        </w:rPr>
        <w:t>:   . . .</w:t>
      </w:r>
      <w:proofErr w:type="gramEnd"/>
      <w:r>
        <w:rPr>
          <w:rFonts w:ascii="Arial" w:hAnsi="Arial" w:cs="Arial"/>
          <w:sz w:val="20"/>
          <w:szCs w:val="20"/>
        </w:rPr>
        <w:t xml:space="preserve">   Western sanctions do not appear to have had much effect on the Russian economy, but they have encouraged group solidarity, self-reliance, and pride. Russia is working with renewed effort to enhance its independence further, notably in IT and finance. GDP may well be a little lower than otherwise possible, but self-reliance has other advantages:  “Autarchy is a good idea. </w:t>
      </w:r>
      <w:proofErr w:type="gramStart"/>
      <w:r>
        <w:rPr>
          <w:rFonts w:ascii="Arial" w:hAnsi="Arial" w:cs="Arial"/>
          <w:sz w:val="20"/>
          <w:szCs w:val="20"/>
        </w:rPr>
        <w:t>Puts a nation on its toes.</w:t>
      </w:r>
      <w:proofErr w:type="gramEnd"/>
      <w:r>
        <w:rPr>
          <w:rFonts w:ascii="Arial" w:hAnsi="Arial" w:cs="Arial"/>
          <w:sz w:val="20"/>
          <w:szCs w:val="20"/>
        </w:rPr>
        <w:t xml:space="preserve"> Makes more work. </w:t>
      </w:r>
      <w:proofErr w:type="gramStart"/>
      <w:r>
        <w:rPr>
          <w:rFonts w:ascii="Arial" w:hAnsi="Arial" w:cs="Arial"/>
          <w:sz w:val="20"/>
          <w:szCs w:val="20"/>
        </w:rPr>
        <w:t>Stimulates invention.</w:t>
      </w:r>
      <w:proofErr w:type="gramEnd"/>
      <w:r>
        <w:rPr>
          <w:rFonts w:ascii="Arial" w:hAnsi="Arial" w:cs="Arial"/>
          <w:sz w:val="20"/>
          <w:szCs w:val="20"/>
        </w:rPr>
        <w:t xml:space="preserve"> Of course we can’t do it a hundred per cent. But the nearer we can come to it, the better.”</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feeling of national unity is visible in the aid given to Crimea, where the people overwhelmingly support having rejoined Russia. Putin’s approval ratings are astronomical.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 governments, with few exceptions, are unpopular and are struggling to contain nationalist parties voicing opposition to being permanently demographically replaced through Third World immigration. While the West showcases deviants like Pussy Riot and Austrian pop singer and drag queen </w:t>
      </w:r>
      <w:proofErr w:type="spellStart"/>
      <w:r>
        <w:rPr>
          <w:rFonts w:ascii="Arial" w:hAnsi="Arial" w:cs="Arial"/>
          <w:sz w:val="20"/>
          <w:szCs w:val="20"/>
        </w:rPr>
        <w:t>Conchita</w:t>
      </w:r>
      <w:proofErr w:type="spellEnd"/>
      <w:r>
        <w:rPr>
          <w:rFonts w:ascii="Arial" w:hAnsi="Arial" w:cs="Arial"/>
          <w:sz w:val="20"/>
          <w:szCs w:val="20"/>
        </w:rPr>
        <w:t xml:space="preserve"> </w:t>
      </w:r>
      <w:proofErr w:type="spellStart"/>
      <w:r>
        <w:rPr>
          <w:rFonts w:ascii="Arial" w:hAnsi="Arial" w:cs="Arial"/>
          <w:sz w:val="20"/>
          <w:szCs w:val="20"/>
        </w:rPr>
        <w:t>Wurst</w:t>
      </w:r>
      <w:proofErr w:type="spellEnd"/>
      <w:r>
        <w:rPr>
          <w:rFonts w:ascii="Arial" w:hAnsi="Arial" w:cs="Arial"/>
          <w:sz w:val="20"/>
          <w:szCs w:val="20"/>
        </w:rPr>
        <w:t xml:space="preserve">, Russia promotes the attractive Prosecutor-General of Crimea Natalia </w:t>
      </w:r>
      <w:proofErr w:type="spellStart"/>
      <w:r>
        <w:rPr>
          <w:rFonts w:ascii="Arial" w:hAnsi="Arial" w:cs="Arial"/>
          <w:sz w:val="20"/>
          <w:szCs w:val="20"/>
        </w:rPr>
        <w:t>Poklonskaya</w:t>
      </w:r>
      <w:proofErr w:type="spellEnd"/>
      <w:r>
        <w:rPr>
          <w:rFonts w:ascii="Arial" w:hAnsi="Arial" w:cs="Arial"/>
          <w:sz w:val="20"/>
          <w:szCs w:val="20"/>
        </w:rPr>
        <w:t>.</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In short, on the one side patriotism and cohesion, </w:t>
      </w:r>
      <w:proofErr w:type="spellStart"/>
      <w:r>
        <w:rPr>
          <w:rFonts w:ascii="Arial" w:hAnsi="Arial" w:cs="Arial"/>
          <w:sz w:val="20"/>
          <w:szCs w:val="20"/>
        </w:rPr>
        <w:t>Sobornost</w:t>
      </w:r>
      <w:proofErr w:type="spellEnd"/>
      <w:r>
        <w:rPr>
          <w:rFonts w:ascii="Arial" w:hAnsi="Arial" w:cs="Arial"/>
          <w:sz w:val="20"/>
          <w:szCs w:val="20"/>
        </w:rPr>
        <w:t xml:space="preserve">, on the other neurosis and decadence, </w:t>
      </w:r>
      <w:proofErr w:type="spellStart"/>
      <w:r>
        <w:rPr>
          <w:rFonts w:ascii="Arial" w:hAnsi="Arial" w:cs="Arial"/>
          <w:sz w:val="20"/>
          <w:szCs w:val="20"/>
        </w:rPr>
        <w:t>Poshlost</w:t>
      </w:r>
      <w:proofErr w:type="spellEnd"/>
      <w:r>
        <w:rPr>
          <w:rFonts w:ascii="Arial" w:hAnsi="Arial" w:cs="Arial"/>
          <w:sz w:val="20"/>
          <w:szCs w:val="20"/>
        </w:rPr>
        <w:t>.</w:t>
      </w:r>
      <w:proofErr w:type="gramEnd"/>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results of the Putin regime have been impressive. In the 1990s, Russia fell into chaos and poverty, mortality skyrocketed and fertility collapsed, whatever was left of the former Soviet command economy was plundered by well-networked oligarchs with the “advice” of a small clique of Harvard economists, including Stanley Fischer, Larry Summers, Andrei </w:t>
      </w:r>
      <w:proofErr w:type="spellStart"/>
      <w:r>
        <w:rPr>
          <w:rFonts w:ascii="Arial" w:hAnsi="Arial" w:cs="Arial"/>
          <w:sz w:val="20"/>
          <w:szCs w:val="20"/>
        </w:rPr>
        <w:t>Shleifer</w:t>
      </w:r>
      <w:proofErr w:type="spellEnd"/>
      <w:r>
        <w:rPr>
          <w:rFonts w:ascii="Arial" w:hAnsi="Arial" w:cs="Arial"/>
          <w:sz w:val="20"/>
          <w:szCs w:val="20"/>
        </w:rPr>
        <w:t>, and Jeffrey Sachs, all heavily Jewish.</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nation’s recovery under Putin has been nothing short of remarkable. GDP has more than tripled. A shocking demographic collapse (the population falling from over 148 million in 1992 to under 143 million in 2008) has been arrested, and there has even been a moderate return to growth (albeit through immigration, much of it from ethnic Russians and other Slavs from the near abroad). Even fertility has steadily recovered, reaching 1.76 in 2014, insufficient, but still a remarkable rise from 1.17 in 1999. </w:t>
      </w:r>
      <w:r>
        <w:rPr>
          <w:rFonts w:ascii="Arial" w:hAnsi="Arial" w:cs="Arial"/>
          <w:sz w:val="20"/>
          <w:szCs w:val="20"/>
        </w:rPr>
        <w:lastRenderedPageBreak/>
        <w:t>Putin has made raising fertility still further an explicit objective, spending billions to this effect.   . . .   Putin   . . .   will not crawl to Europe; he will not compromise on Russia’s fundamental interests.</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this, however, is not enough. “</w:t>
      </w:r>
      <w:proofErr w:type="spellStart"/>
      <w:r>
        <w:rPr>
          <w:rFonts w:ascii="Arial" w:hAnsi="Arial" w:cs="Arial"/>
          <w:sz w:val="20"/>
          <w:szCs w:val="20"/>
        </w:rPr>
        <w:t>Putinism</w:t>
      </w:r>
      <w:proofErr w:type="spellEnd"/>
      <w:r>
        <w:rPr>
          <w:rFonts w:ascii="Arial" w:hAnsi="Arial" w:cs="Arial"/>
          <w:sz w:val="20"/>
          <w:szCs w:val="20"/>
        </w:rPr>
        <w:t>,” if there is such a thing, does not appear to be a very rigorous ruling ideology. Rather, the regime and its rules are the embodiment of the pragmatism and “common sense” of the Russian oligarchy that emerged from the wreckage of the Soviet Union, a composite entity made up of the major industries (fossil fuels, arms) and the state apparatus (military, secret service).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Russia’s ethnocentrism, like that of the Central Europeans, is too instinctive, too intuitive. They know themselves to be themselves, and that the others are “Other,” because it is common sense. Russians will likely retain this common sense longer than will Central Europeans. But there is no explicit ethno-national doctrine.    . . .    The iconoclastic Russian thinker Alexander </w:t>
      </w:r>
      <w:proofErr w:type="spellStart"/>
      <w:r>
        <w:rPr>
          <w:rFonts w:ascii="Arial" w:hAnsi="Arial" w:cs="Arial"/>
          <w:sz w:val="20"/>
          <w:szCs w:val="20"/>
        </w:rPr>
        <w:t>Dugin</w:t>
      </w:r>
      <w:proofErr w:type="spellEnd"/>
      <w:r>
        <w:rPr>
          <w:rFonts w:ascii="Arial" w:hAnsi="Arial" w:cs="Arial"/>
          <w:sz w:val="20"/>
          <w:szCs w:val="20"/>
        </w:rPr>
        <w:t xml:space="preserve"> does not appear to have an ethno-national doctrine.   . . .     Alexander Solzhenitsyn, perhaps the most powerful Russian moral figure in recent memory, was an ethno-nationalist. In 1990, before the total collapse of the Soviet Union, he called on the country to shed its non-Slavic republics, leaving only a union of Russia, Ukraine, Belarus, and the </w:t>
      </w:r>
      <w:proofErr w:type="spellStart"/>
      <w:r>
        <w:rPr>
          <w:rFonts w:ascii="Arial" w:hAnsi="Arial" w:cs="Arial"/>
          <w:sz w:val="20"/>
          <w:szCs w:val="20"/>
        </w:rPr>
        <w:t>Russified</w:t>
      </w:r>
      <w:proofErr w:type="spellEnd"/>
      <w:r>
        <w:rPr>
          <w:rFonts w:ascii="Arial" w:hAnsi="Arial" w:cs="Arial"/>
          <w:sz w:val="20"/>
          <w:szCs w:val="20"/>
        </w:rPr>
        <w:t xml:space="preserve"> north of Kazakhstan.    . . .    I have the utmost respect for Ukrainian nationalists and their struggle to defend their people, well understood. </w:t>
      </w:r>
      <w:proofErr w:type="gramStart"/>
      <w:r>
        <w:rPr>
          <w:rFonts w:ascii="Arial" w:hAnsi="Arial" w:cs="Arial"/>
          <w:sz w:val="20"/>
          <w:szCs w:val="20"/>
        </w:rPr>
        <w:t>But, as Western Europeans, there is little question that Russia is less hostile to our interests than America.</w:t>
      </w:r>
      <w:proofErr w:type="gramEnd"/>
      <w:r>
        <w:rPr>
          <w:rFonts w:ascii="Arial" w:hAnsi="Arial" w:cs="Arial"/>
          <w:sz w:val="20"/>
          <w:szCs w:val="20"/>
        </w:rPr>
        <w:t xml:space="preserve">    . . .    If a nationalist government were to take power in Western Europe, such as France, Russian support would be critical to preventing subversion or outright aggression by the EU and U.S. authorities, as occurred against Serbia.        .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Make no mistake: The cultural masters of America have only contempt for Europeans in general and for Slavs in particular. They have always feared and loathed Slavs, with their </w:t>
      </w:r>
      <w:proofErr w:type="spellStart"/>
      <w:r>
        <w:rPr>
          <w:rFonts w:ascii="Arial" w:hAnsi="Arial" w:cs="Arial"/>
          <w:sz w:val="20"/>
          <w:szCs w:val="20"/>
        </w:rPr>
        <w:t>goyische</w:t>
      </w:r>
      <w:proofErr w:type="spellEnd"/>
      <w:r>
        <w:rPr>
          <w:rFonts w:ascii="Arial" w:hAnsi="Arial" w:cs="Arial"/>
          <w:sz w:val="20"/>
          <w:szCs w:val="20"/>
        </w:rPr>
        <w:t xml:space="preserve"> </w:t>
      </w:r>
      <w:proofErr w:type="spellStart"/>
      <w:r>
        <w:rPr>
          <w:rFonts w:ascii="Arial" w:hAnsi="Arial" w:cs="Arial"/>
          <w:sz w:val="20"/>
          <w:szCs w:val="20"/>
        </w:rPr>
        <w:t>kopf</w:t>
      </w:r>
      <w:proofErr w:type="spellEnd"/>
      <w:r>
        <w:rPr>
          <w:rFonts w:ascii="Arial" w:hAnsi="Arial" w:cs="Arial"/>
          <w:sz w:val="20"/>
          <w:szCs w:val="20"/>
        </w:rPr>
        <w:t xml:space="preserve">. The pejorative stereotype of the hateful, idiotic Slav is alive in well in Anglo-Zionist media. Recall Seinfeld’s “Ukraine not weak” scene. This caricature was also evident in </w:t>
      </w:r>
      <w:proofErr w:type="spellStart"/>
      <w:r>
        <w:rPr>
          <w:rFonts w:ascii="Arial" w:hAnsi="Arial" w:cs="Arial"/>
          <w:sz w:val="20"/>
          <w:szCs w:val="20"/>
        </w:rPr>
        <w:t>Sacha</w:t>
      </w:r>
      <w:proofErr w:type="spellEnd"/>
      <w:r>
        <w:rPr>
          <w:rFonts w:ascii="Arial" w:hAnsi="Arial" w:cs="Arial"/>
          <w:sz w:val="20"/>
          <w:szCs w:val="20"/>
        </w:rPr>
        <w:t xml:space="preserve"> Baron Cohen’s 2006 film </w:t>
      </w:r>
      <w:proofErr w:type="spellStart"/>
      <w:r>
        <w:rPr>
          <w:rFonts w:ascii="Arial" w:hAnsi="Arial" w:cs="Arial"/>
          <w:sz w:val="20"/>
          <w:szCs w:val="20"/>
        </w:rPr>
        <w:t>Borat</w:t>
      </w:r>
      <w:proofErr w:type="spellEnd"/>
      <w:r>
        <w:rPr>
          <w:rFonts w:ascii="Arial" w:hAnsi="Arial" w:cs="Arial"/>
          <w:sz w:val="20"/>
          <w:szCs w:val="20"/>
        </w:rPr>
        <w:t xml:space="preserve">, portraying vaguely Slavic villagers as idiotic, inbred and joyously anti-Semitic (notably in the, admittedly hilarious, “running of the Jew” scene).  </w:t>
      </w:r>
      <w:proofErr w:type="spellStart"/>
      <w:r>
        <w:rPr>
          <w:rFonts w:ascii="Arial" w:hAnsi="Arial" w:cs="Arial"/>
          <w:sz w:val="20"/>
          <w:szCs w:val="20"/>
        </w:rPr>
        <w:t>Borat</w:t>
      </w:r>
      <w:proofErr w:type="spellEnd"/>
      <w:r>
        <w:rPr>
          <w:rFonts w:ascii="Arial" w:hAnsi="Arial" w:cs="Arial"/>
          <w:sz w:val="20"/>
          <w:szCs w:val="20"/>
        </w:rPr>
        <w:t xml:space="preserve"> also mocked rural conservative White Americans, clad in cowboy gear, as anti-Semitic, having them join in a song called “Throw the Jew down the well!”</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generally, for Hollywood and American TV, the Russians are “the go-to bad guys,” and they are a virtual obsession for the neoconservatives who have been strong opponents of Russia in Georgia, in the annexation of Crimea, and now in eastern Ukraine.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culture of critique, all ethnic European groups are understood to be evil, be it the Anglo-Saxon, the German, or the Slav. The same ethnic resentments that drove the Bolsheviks’ lust for blood are still at work in the highest cultural institutions of the West.   . . .</w:t>
      </w: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16"/>
          <w:szCs w:val="16"/>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Concerning Europe, the Americans have taken the side of the Muslims, of </w:t>
      </w:r>
      <w:proofErr w:type="spellStart"/>
      <w:r>
        <w:rPr>
          <w:rFonts w:ascii="Arial" w:hAnsi="Arial" w:cs="Arial"/>
          <w:sz w:val="20"/>
          <w:szCs w:val="20"/>
        </w:rPr>
        <w:t>Bosniaks</w:t>
      </w:r>
      <w:proofErr w:type="spellEnd"/>
      <w:r>
        <w:rPr>
          <w:rFonts w:ascii="Arial" w:hAnsi="Arial" w:cs="Arial"/>
          <w:sz w:val="20"/>
          <w:szCs w:val="20"/>
        </w:rPr>
        <w:t xml:space="preserve"> and </w:t>
      </w:r>
      <w:proofErr w:type="spellStart"/>
      <w:r>
        <w:rPr>
          <w:rFonts w:ascii="Arial" w:hAnsi="Arial" w:cs="Arial"/>
          <w:sz w:val="20"/>
          <w:szCs w:val="20"/>
        </w:rPr>
        <w:t>Kosovars</w:t>
      </w:r>
      <w:proofErr w:type="spellEnd"/>
      <w:r>
        <w:rPr>
          <w:rFonts w:ascii="Arial" w:hAnsi="Arial" w:cs="Arial"/>
          <w:sz w:val="20"/>
          <w:szCs w:val="20"/>
        </w:rPr>
        <w:t xml:space="preserve"> against Christian Orthodox Serbs. They are pushing incidentally for Turkey, 95% Muslim, to enter the European Union. There are political ulterior motives whose results, I am forced to observe, are hostile to the survival of Europe.</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hostility is also evident in the New York Times’ push to open Europe to the teeming masses of Africa, even as that continent’s population is expected to reach a terrifying 4.2 billion by the end of the century    . . .</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---http://www.theoccidentalobserver.net/2015/06/can-the-ossis-save-europe-part-3-of-3/</w:t>
      </w: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Arial" w:hAnsi="Arial" w:cs="Arial"/>
          <w:sz w:val="20"/>
          <w:szCs w:val="20"/>
        </w:rPr>
      </w:pPr>
    </w:p>
    <w:p w:rsidR="00BA6649" w:rsidRDefault="00BA6649">
      <w:pPr>
        <w:widowControl w:val="0"/>
        <w:autoSpaceDE w:val="0"/>
        <w:autoSpaceDN w:val="0"/>
        <w:adjustRightInd w:val="0"/>
        <w:spacing w:after="0" w:line="240" w:lineRule="auto"/>
        <w:rPr>
          <w:rFonts w:ascii="Times New Roman" w:hAnsi="Times New Roman"/>
          <w:sz w:val="34"/>
          <w:szCs w:val="34"/>
        </w:rPr>
      </w:pPr>
      <w:r>
        <w:rPr>
          <w:rFonts w:ascii="Arial" w:hAnsi="Arial" w:cs="Arial"/>
          <w:sz w:val="20"/>
          <w:szCs w:val="20"/>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BA6649" w:rsidRDefault="00BA6649">
      <w:pPr>
        <w:widowControl w:val="0"/>
        <w:autoSpaceDE w:val="0"/>
        <w:autoSpaceDN w:val="0"/>
        <w:adjustRightInd w:val="0"/>
        <w:spacing w:after="0" w:line="240" w:lineRule="auto"/>
        <w:rPr>
          <w:rFonts w:ascii="Times New Roman" w:hAnsi="Times New Roman"/>
          <w:sz w:val="34"/>
          <w:szCs w:val="34"/>
        </w:rPr>
      </w:pPr>
    </w:p>
    <w:p w:rsidR="00BA6649" w:rsidRDefault="00BA664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BA6649" w:rsidSect="00BA6649">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6BE" w:rsidRDefault="002C26BE" w:rsidP="00BA6649">
      <w:pPr>
        <w:spacing w:after="0" w:line="240" w:lineRule="auto"/>
      </w:pPr>
      <w:r>
        <w:separator/>
      </w:r>
    </w:p>
  </w:endnote>
  <w:endnote w:type="continuationSeparator" w:id="0">
    <w:p w:rsidR="002C26BE" w:rsidRDefault="002C26BE" w:rsidP="00BA6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49" w:rsidRDefault="00BA6649">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6BE" w:rsidRDefault="002C26BE" w:rsidP="00BA6649">
      <w:pPr>
        <w:spacing w:after="0" w:line="240" w:lineRule="auto"/>
      </w:pPr>
      <w:r>
        <w:separator/>
      </w:r>
    </w:p>
  </w:footnote>
  <w:footnote w:type="continuationSeparator" w:id="0">
    <w:p w:rsidR="002C26BE" w:rsidRDefault="002C26BE" w:rsidP="00BA6649">
      <w:pPr>
        <w:spacing w:after="0" w:line="240" w:lineRule="auto"/>
      </w:pPr>
      <w:r>
        <w:continuationSeparator/>
      </w:r>
    </w:p>
  </w:footnote>
  <w:footnote w:id="1">
    <w:p w:rsidR="00BA6649" w:rsidRDefault="00BA6649">
      <w:pPr>
        <w:widowControl w:val="0"/>
        <w:autoSpaceDE w:val="0"/>
        <w:autoSpaceDN w:val="0"/>
        <w:adjustRightInd w:val="0"/>
        <w:spacing w:after="0" w:line="240" w:lineRule="auto"/>
        <w:ind w:left="1440"/>
        <w:rPr>
          <w:rFonts w:ascii="Times New Roman" w:hAnsi="Times New Roman"/>
          <w:sz w:val="24"/>
          <w:szCs w:val="24"/>
        </w:rPr>
      </w:pPr>
      <w:r w:rsidRPr="00C212AF">
        <w:rPr>
          <w:rStyle w:val="FootnoteReference"/>
        </w:rPr>
        <w:footnoteRef/>
      </w:r>
      <w:r>
        <w:rPr>
          <w:rFonts w:ascii="Times New Roman" w:hAnsi="Times New Roman"/>
          <w:sz w:val="24"/>
          <w:szCs w:val="24"/>
        </w:rPr>
        <w:t xml:space="preserve">  An examination of the word “exigent” might be in order.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49" w:rsidRDefault="00BA6649">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6649"/>
    <w:rsid w:val="002C26BE"/>
    <w:rsid w:val="00353CB9"/>
    <w:rsid w:val="00783A88"/>
    <w:rsid w:val="00BA6649"/>
    <w:rsid w:val="00C212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CB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212AF"/>
    <w:rPr>
      <w:vertAlign w:val="superscript"/>
    </w:rPr>
  </w:style>
  <w:style w:type="character" w:styleId="FootnoteReference">
    <w:name w:val="footnote reference"/>
    <w:basedOn w:val="DefaultParagraphFont"/>
    <w:uiPriority w:val="99"/>
    <w:semiHidden/>
    <w:unhideWhenUsed/>
    <w:rsid w:val="00C212A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6564</Words>
  <Characters>37420</Characters>
  <Application>Microsoft Office Word</Application>
  <DocSecurity>0</DocSecurity>
  <Lines>311</Lines>
  <Paragraphs>87</Paragraphs>
  <ScaleCrop>false</ScaleCrop>
  <Company/>
  <LinksUpToDate>false</LinksUpToDate>
  <CharactersWithSpaces>43897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2016-05-16T14:40:00Z</dcterms:created>
  <dcterms:modified xsi:type="dcterms:W3CDTF">2016-11-11T01:22:00Z</dcterms:modified>
</cp:coreProperties>
</file>